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pPr>
    </w:p>
    <w:p>
      <w:pPr>
        <w:spacing w:after="8" w:before="20"/>
        <w:jc w:val="center"/>
      </w:pPr>
      <w:r>
        <w:rPr>
          <w:rFonts w:ascii="Calibri" w:cs="Calibri" w:eastAsia="Calibri" w:hAnsi="Calibri"/>
          <w:b/>
          <w:bCs/>
          <w:color w:val="97A3B8"/>
          <w:spacing w:val="160"/>
          <w:sz w:val="20"/>
          <w:szCs w:val="20"/>
        </w:rPr>
        <w:t xml:space="preserve">MAPMYFINANCIAL GROUP</w:t>
      </w:r>
    </w:p>
    <w:p>
      <w:pPr>
        <w:spacing w:after="8" w:before="8"/>
        <w:jc w:val="center"/>
      </w:pPr>
      <w:r>
        <w:rPr>
          <w:rFonts w:ascii="Georgia" w:cs="Georgia" w:eastAsia="Georgia" w:hAnsi="Georgia"/>
          <w:color w:val="1A2B42"/>
          <w:sz w:val="72"/>
          <w:szCs w:val="72"/>
        </w:rPr>
        <w:t xml:space="preserve">Property Portfolio</w:t>
      </w:r>
    </w:p>
    <w:p>
      <w:pPr>
        <w:spacing w:after="32" w:before="4"/>
        <w:jc w:val="center"/>
      </w:pPr>
      <w:r>
        <w:rPr>
          <w:rFonts w:ascii="Georgia" w:cs="Georgia" w:eastAsia="Georgia" w:hAnsi="Georgia"/>
          <w:i/>
          <w:iCs/>
          <w:color w:val="1A7A50"/>
          <w:sz w:val="72"/>
          <w:szCs w:val="72"/>
        </w:rPr>
        <w:t xml:space="preserve">Review Report</w:t>
      </w:r>
    </w:p>
    <w:p>
      <w:pPr>
        <w:spacing w:after="8" w:before="8"/>
        <w:jc w:val="center"/>
      </w:pPr>
      <w:r>
        <w:rPr>
          <w:rFonts w:ascii="Calibri" w:cs="Calibri" w:eastAsia="Calibri" w:hAnsi="Calibri"/>
          <w:color w:val="5A6A80"/>
          <w:sz w:val="24"/>
          <w:szCs w:val="24"/>
        </w:rPr>
        <w:t xml:space="preserve">Prepared for: </w:t>
      </w:r>
      <w:r>
        <w:rPr>
          <w:rFonts w:ascii="Calibri" w:cs="Calibri" w:eastAsia="Calibri" w:hAnsi="Calibri"/>
          <w:b/>
          <w:bCs/>
          <w:color w:val="1A2B42"/>
          <w:sz w:val="24"/>
          <w:szCs w:val="24"/>
        </w:rPr>
        <w:t xml:space="preserve">Andrew &amp; Sarah Thompson</w:t>
      </w:r>
    </w:p>
    <w:p>
      <w:pPr>
        <w:spacing w:after="8" w:before="40"/>
      </w:pP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gridCol w:w="100"/>
        <w:gridCol w:w="100"/>
      </w:tblGrid>
      <w:tr>
        <w:tc>
          <w:tcPr>
            <w:tcBorders>
              <w:top w:val="none" w:color="FFFFFF" w:sz="0" w:space="0"/>
              <w:left w:val="none" w:color="FFFFFF" w:sz="0" w:space="0"/>
              <w:bottom w:val="none" w:color="FFFFFF" w:sz="0" w:space="0"/>
              <w:right w:val="none" w:color="FFFFFF" w:sz="0" w:space="0"/>
            </w:tcBorders>
            <w:shd w:fill="F4F6FA" w:val="clear"/>
            <w:tcMar>
              <w:top w:type="dxa" w:w="172"/>
              <w:left w:type="dxa" w:w="215"/>
              <w:bottom w:type="dxa" w:w="172"/>
              <w:right w:type="dxa" w:w="215"/>
            </w:tcMar>
          </w:tcPr>
          <w:p>
            <w:r>
              <w:rPr>
                <w:rFonts w:ascii="Calibri" w:cs="Calibri" w:eastAsia="Calibri" w:hAnsi="Calibri"/>
                <w:b/>
                <w:bCs/>
                <w:color w:val="97A3B8"/>
                <w:spacing w:val="80"/>
                <w:sz w:val="17"/>
                <w:szCs w:val="17"/>
              </w:rPr>
              <w:t xml:space="preserve">REPORT DATE</w:t>
            </w:r>
          </w:p>
          <w:p>
            <w:r>
              <w:rPr>
                <w:rFonts w:ascii="Calibri" w:cs="Calibri" w:eastAsia="Calibri" w:hAnsi="Calibri"/>
                <w:b/>
                <w:bCs/>
                <w:color w:val="1A2B42"/>
                <w:sz w:val="26"/>
                <w:szCs w:val="26"/>
              </w:rPr>
              <w:t xml:space="preserve">May 2026</w:t>
            </w:r>
          </w:p>
        </w:tc>
        <w:tc>
          <w:tcPr>
            <w:tcBorders>
              <w:top w:val="none" w:color="FFFFFF" w:sz="0" w:space="0"/>
              <w:left w:val="none" w:color="FFFFFF" w:sz="0" w:space="0"/>
              <w:bottom w:val="none" w:color="FFFFFF" w:sz="0" w:space="0"/>
              <w:right w:val="none" w:color="FFFFFF" w:sz="0" w:space="0"/>
            </w:tcBorders>
            <w:shd w:fill="F4F6FA" w:val="clear"/>
            <w:tcMar>
              <w:top w:type="dxa" w:w="172"/>
              <w:left w:type="dxa" w:w="215"/>
              <w:bottom w:type="dxa" w:w="172"/>
              <w:right w:type="dxa" w:w="215"/>
            </w:tcMar>
          </w:tcPr>
          <w:p>
            <w:r>
              <w:rPr>
                <w:rFonts w:ascii="Calibri" w:cs="Calibri" w:eastAsia="Calibri" w:hAnsi="Calibri"/>
                <w:b/>
                <w:bCs/>
                <w:color w:val="97A3B8"/>
                <w:spacing w:val="80"/>
                <w:sz w:val="17"/>
                <w:szCs w:val="17"/>
              </w:rPr>
              <w:t xml:space="preserve">ADVISER</w:t>
            </w:r>
          </w:p>
          <w:p>
            <w:r>
              <w:rPr>
                <w:rFonts w:ascii="Calibri" w:cs="Calibri" w:eastAsia="Calibri" w:hAnsi="Calibri"/>
                <w:b/>
                <w:bCs/>
                <w:color w:val="1A2B42"/>
                <w:sz w:val="26"/>
                <w:szCs w:val="26"/>
              </w:rPr>
              <w:t xml:space="preserve">Jonathan G.</w:t>
            </w:r>
          </w:p>
        </w:tc>
        <w:tc>
          <w:tcPr>
            <w:tcBorders>
              <w:top w:val="none" w:color="FFFFFF" w:sz="0" w:space="0"/>
              <w:left w:val="none" w:color="FFFFFF" w:sz="0" w:space="0"/>
              <w:bottom w:val="none" w:color="FFFFFF" w:sz="0" w:space="0"/>
              <w:right w:val="none" w:color="FFFFFF" w:sz="0" w:space="0"/>
            </w:tcBorders>
            <w:shd w:fill="F4F6FA" w:val="clear"/>
            <w:tcMar>
              <w:top w:type="dxa" w:w="172"/>
              <w:left w:type="dxa" w:w="215"/>
              <w:bottom w:type="dxa" w:w="172"/>
              <w:right w:type="dxa" w:w="215"/>
            </w:tcMar>
          </w:tcPr>
          <w:p>
            <w:r>
              <w:rPr>
                <w:rFonts w:ascii="Calibri" w:cs="Calibri" w:eastAsia="Calibri" w:hAnsi="Calibri"/>
                <w:b/>
                <w:bCs/>
                <w:color w:val="97A3B8"/>
                <w:spacing w:val="80"/>
                <w:sz w:val="17"/>
                <w:szCs w:val="17"/>
              </w:rPr>
              <w:t xml:space="preserve">PROPERTIES REVIEWED</w:t>
            </w:r>
          </w:p>
          <w:p>
            <w:r>
              <w:rPr>
                <w:rFonts w:ascii="Calibri" w:cs="Calibri" w:eastAsia="Calibri" w:hAnsi="Calibri"/>
                <w:b/>
                <w:bCs/>
                <w:color w:val="1A2B42"/>
                <w:sz w:val="26"/>
                <w:szCs w:val="26"/>
              </w:rPr>
              <w:t xml:space="preserve">3 properties</w:t>
            </w:r>
          </w:p>
        </w:tc>
        <w:tc>
          <w:tcPr>
            <w:tcBorders>
              <w:top w:val="none" w:color="FFFFFF" w:sz="0" w:space="0"/>
              <w:left w:val="none" w:color="FFFFFF" w:sz="0" w:space="0"/>
              <w:bottom w:val="none" w:color="FFFFFF" w:sz="0" w:space="0"/>
              <w:right w:val="none" w:color="FFFFFF" w:sz="0" w:space="0"/>
            </w:tcBorders>
            <w:shd w:fill="F4F6FA" w:val="clear"/>
            <w:tcMar>
              <w:top w:type="dxa" w:w="172"/>
              <w:left w:type="dxa" w:w="215"/>
              <w:bottom w:type="dxa" w:w="172"/>
              <w:right w:type="dxa" w:w="215"/>
            </w:tcMar>
          </w:tcPr>
          <w:p>
            <w:r>
              <w:rPr>
                <w:rFonts w:ascii="Calibri" w:cs="Calibri" w:eastAsia="Calibri" w:hAnsi="Calibri"/>
                <w:b/>
                <w:bCs/>
                <w:color w:val="97A3B8"/>
                <w:spacing w:val="80"/>
                <w:sz w:val="17"/>
                <w:szCs w:val="17"/>
              </w:rPr>
              <w:t xml:space="preserve">PORTFOLIO VALUE</w:t>
            </w:r>
          </w:p>
          <w:p>
            <w:r>
              <w:rPr>
                <w:rFonts w:ascii="Calibri" w:cs="Calibri" w:eastAsia="Calibri" w:hAnsi="Calibri"/>
                <w:b/>
                <w:bCs/>
                <w:color w:val="1A2B42"/>
                <w:sz w:val="26"/>
                <w:szCs w:val="26"/>
              </w:rPr>
              <w:t xml:space="preserve">$1.92M</w:t>
            </w:r>
          </w:p>
        </w:tc>
      </w:tr>
    </w:tbl>
    <w:p>
      <w:pPr>
        <w:spacing w:after="8" w:before="20"/>
      </w:pPr>
      <w:r>
        <w:rPr>
          <w:rFonts w:ascii="Calibri" w:cs="Calibri" w:eastAsia="Calibri" w:hAnsi="Calibri"/>
          <w:b/>
          <w:bCs/>
          <w:i/>
          <w:iCs/>
          <w:color w:val="B06A00"/>
          <w:sz w:val="18"/>
          <w:szCs w:val="18"/>
        </w:rPr>
        <w:t xml:space="preserve">SAMPLE REPORT — Names and figures are illustrative only. Not financial advice.</w:t>
      </w:r>
    </w:p>
    <w:p>
      <w:r>
        <w:br w:type="page"/>
      </w:r>
    </w:p>
    <w:p>
      <w:pPr>
        <w:spacing w:after="4" w:before="28"/>
      </w:pPr>
      <w:r>
        <w:rPr>
          <w:rFonts w:ascii="Calibri" w:cs="Calibri" w:eastAsia="Calibri" w:hAnsi="Calibri"/>
          <w:b/>
          <w:bCs/>
          <w:color w:val="1A7A50"/>
          <w:spacing w:val="120"/>
          <w:sz w:val="18"/>
          <w:szCs w:val="18"/>
        </w:rPr>
        <w:t xml:space="preserve">EXECUTIVE SUMMARY</w:t>
      </w:r>
    </w:p>
    <w:p>
      <w:pPr>
        <w:spacing w:after="8" w:before="4"/>
      </w:pPr>
      <w:r>
        <w:rPr>
          <w:rFonts w:ascii="Georgia" w:cs="Georgia" w:eastAsia="Georgia" w:hAnsi="Georgia"/>
          <w:color w:val="1A2B42"/>
          <w:sz w:val="40"/>
          <w:szCs w:val="40"/>
        </w:rPr>
        <w:t xml:space="preserve">Your portfolio at a glance</w:t>
      </w:r>
    </w:p>
    <w:p>
      <w:pPr>
        <w:spacing w:after="12" w:before="8"/>
      </w:pPr>
      <w:r>
        <w:rPr>
          <w:rFonts w:ascii="Calibri" w:cs="Calibri" w:eastAsia="Calibri" w:hAnsi="Calibri"/>
          <w:color w:val="5A6A80"/>
          <w:sz w:val="22"/>
          <w:szCs w:val="22"/>
        </w:rPr>
        <w:t xml:space="preserve">3 investment properties reviewed across Hamilton, Cambridge and Te Awamutu. 2 clear opportunities identified that could add $18,400/yr in after-tax cashflow.</w:t>
      </w:r>
    </w:p>
    <w:p>
      <w:pPr>
        <w:pBdr>
          <w:bottom w:val="single" w:color="DCE3EE" w:sz="4" w:space="1"/>
        </w:pBdr>
        <w:spacing w:after="24" w:before="24"/>
      </w:pPr>
    </w:p>
    <w:p>
      <w:pPr>
        <w:spacing w:after="8" w:before="16"/>
      </w:pPr>
      <w:r>
        <w:rPr>
          <w:rFonts w:ascii="Calibri" w:cs="Calibri" w:eastAsia="Calibri" w:hAnsi="Calibri"/>
          <w:b/>
          <w:bCs/>
          <w:color w:val="1A2B42"/>
          <w:sz w:val="22"/>
          <w:szCs w:val="22"/>
        </w:rPr>
        <w:t xml:space="preserve">Property Scores</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tblGrid>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14 Elm St, Hamilton  ·  3bd  ·  Mortgage $340k</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bCs/>
                <w:color w:val="1A7A50"/>
                <w:sz w:val="21"/>
                <w:szCs w:val="21"/>
              </w:rPr>
              <w:t xml:space="preserve">A — On Track  ·  4.8% yield</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7 Rata Rd, Cambridge  ·  2bd  ·  Mortgage $290k</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bCs/>
                <w:color w:val="B06A00"/>
                <w:sz w:val="21"/>
                <w:szCs w:val="21"/>
              </w:rPr>
              <w:t xml:space="preserve">B — Review Needed  ·  3.1% yield</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22 Tui Pl, Te Awamutu  ·  3bd  ·  Mortgage $410k</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bCs/>
                <w:color w:val="4A7AB5"/>
                <w:sz w:val="21"/>
                <w:szCs w:val="21"/>
              </w:rPr>
              <w:t xml:space="preserve">C — Opportunity  ·  2.4% yield</w:t>
            </w:r>
          </w:p>
        </w:tc>
      </w:tr>
    </w:tbl>
    <w:p>
      <w:pPr>
        <w:spacing w:after="8" w:before="24"/>
      </w:pPr>
      <w:r>
        <w:rPr>
          <w:rFonts w:ascii="Calibri" w:cs="Calibri" w:eastAsia="Calibri" w:hAnsi="Calibri"/>
          <w:b/>
          <w:bCs/>
          <w:color w:val="1A2B42"/>
          <w:sz w:val="22"/>
          <w:szCs w:val="22"/>
        </w:rPr>
        <w:t xml:space="preserve">Portfolio KPIs</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tblGrid>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Total Portfolio Equity</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$412,000</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Portfolio Value</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$1,920,000</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Average Gross Yield</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3.4%</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Annual Cashflow Opportunity (if actions taken)</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bCs/>
                <w:color w:val="1A7A50"/>
                <w:sz w:val="21"/>
                <w:szCs w:val="21"/>
              </w:rPr>
              <w:t xml:space="preserve">+$18,400/yr</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Market Benchmark Yield (NZ similar portfolios)</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3.8–4.5%</w:t>
            </w:r>
          </w:p>
        </w:tc>
      </w:tr>
    </w:tbl>
    <w:p>
      <w:pPr>
        <w:pBdr>
          <w:bottom w:val="single" w:color="DCE3EE" w:sz="4" w:space="1"/>
        </w:pBdr>
        <w:spacing w:after="24" w:before="24"/>
      </w:pPr>
    </w:p>
    <w:p>
      <w:pPr>
        <w:spacing w:after="8" w:before="16"/>
      </w:pPr>
      <w:r>
        <w:rPr>
          <w:rFonts w:ascii="Calibri" w:cs="Calibri" w:eastAsia="Calibri" w:hAnsi="Calibri"/>
          <w:b/>
          <w:bCs/>
          <w:color w:val="1A2B42"/>
          <w:sz w:val="22"/>
          <w:szCs w:val="22"/>
        </w:rPr>
        <w:t xml:space="preserve">Key Findings</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tblGrid>
      <w:tr>
        <w:tc>
          <w:tcPr>
            <w:tcBorders>
              <w:top w:val="none" w:color="FFFFFF" w:sz="0" w:space="0"/>
              <w:left w:val="none" w:color="FFFFFF" w:sz="0" w:space="0"/>
              <w:bottom w:val="none" w:color="FFFFFF" w:sz="0" w:space="0"/>
              <w:right w:val="none" w:color="FFFFFF" w:sz="0" w:space="0"/>
            </w:tcBorders>
            <w:shd w:fill="EAF5EE" w:val="clear"/>
            <w:tcMar>
              <w:top w:type="dxa" w:w="144"/>
              <w:left w:type="dxa" w:w="215"/>
              <w:bottom w:type="dxa" w:w="144"/>
              <w:right w:type="dxa" w:w="215"/>
            </w:tcMar>
          </w:tcPr>
          <w:p>
            <w:pPr>
              <w:spacing w:after="4" w:before="8"/>
            </w:pPr>
            <w:r>
              <w:rPr>
                <w:rFonts w:ascii="Calibri" w:cs="Calibri" w:eastAsia="Calibri" w:hAnsi="Calibri"/>
                <w:b/>
                <w:bCs/>
                <w:color w:val="1A7A50"/>
                <w:sz w:val="19"/>
                <w:szCs w:val="19"/>
              </w:rPr>
              <w:t xml:space="preserve">★  HIGH PRIORITY  </w:t>
            </w:r>
            <w:r>
              <w:rPr>
                <w:rFonts w:ascii="Calibri" w:cs="Calibri" w:eastAsia="Calibri" w:hAnsi="Calibri"/>
                <w:b/>
                <w:bCs/>
                <w:color w:val="1A2B42"/>
                <w:sz w:val="22"/>
                <w:szCs w:val="22"/>
              </w:rPr>
              <w:t xml:space="preserve">Minor dwelling opportunity at 14 Elm St, Hamilton</w:t>
            </w:r>
          </w:p>
          <w:p>
            <w:pPr>
              <w:spacing w:after="12" w:before="4"/>
            </w:pPr>
            <w:r>
              <w:rPr>
                <w:rFonts w:ascii="Calibri" w:cs="Calibri" w:eastAsia="Calibri" w:hAnsi="Calibri"/>
                <w:color w:val="5A6A80"/>
                <w:sz w:val="22"/>
                <w:szCs w:val="22"/>
              </w:rPr>
              <w:t xml:space="preserve">The 680m² section has unused rear yard that meets Hamilton City Council's minor dwelling rules. Adding a 65m² one-bedroom unit could generate an additional $14,000–$16,000/yr in rental income. Estimated build cost: $140–170k.</w:t>
            </w:r>
          </w:p>
          <w:p>
            <w:r>
              <w:rPr>
                <w:rFonts w:ascii="Calibri" w:cs="Calibri" w:eastAsia="Calibri" w:hAnsi="Calibri"/>
                <w:b/>
                <w:bCs/>
                <w:color w:val="1A7A50"/>
                <w:sz w:val="21"/>
                <w:szCs w:val="21"/>
              </w:rPr>
              <w:t xml:space="preserve">Estimated uplift: +$15,000/yr</w:t>
            </w:r>
          </w:p>
        </w:tc>
      </w:tr>
    </w:tbl>
    <w:p>
      <w:pPr>
        <w:spacing w:before="12"/>
      </w:pP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tblGrid>
      <w:tr>
        <w:tc>
          <w:tcPr>
            <w:tcBorders>
              <w:top w:val="none" w:color="FFFFFF" w:sz="0" w:space="0"/>
              <w:left w:val="none" w:color="FFFFFF" w:sz="0" w:space="0"/>
              <w:bottom w:val="none" w:color="FFFFFF" w:sz="0" w:space="0"/>
              <w:right w:val="none" w:color="FFFFFF" w:sz="0" w:space="0"/>
            </w:tcBorders>
            <w:shd w:fill="FFF8ED" w:val="clear"/>
            <w:tcMar>
              <w:top w:type="dxa" w:w="144"/>
              <w:left w:type="dxa" w:w="215"/>
              <w:bottom w:type="dxa" w:w="144"/>
              <w:right w:type="dxa" w:w="215"/>
            </w:tcMar>
          </w:tcPr>
          <w:p>
            <w:pPr>
              <w:spacing w:after="4" w:before="8"/>
            </w:pPr>
            <w:r>
              <w:rPr>
                <w:rFonts w:ascii="Calibri" w:cs="Calibri" w:eastAsia="Calibri" w:hAnsi="Calibri"/>
                <w:b/>
                <w:bCs/>
                <w:color w:val="B06A00"/>
                <w:sz w:val="19"/>
                <w:szCs w:val="19"/>
              </w:rPr>
              <w:t xml:space="preserve">★  MEDIUM PRIORITY  </w:t>
            </w:r>
            <w:r>
              <w:rPr>
                <w:rFonts w:ascii="Calibri" w:cs="Calibri" w:eastAsia="Calibri" w:hAnsi="Calibri"/>
                <w:b/>
                <w:bCs/>
                <w:color w:val="1A2B42"/>
                <w:sz w:val="22"/>
                <w:szCs w:val="22"/>
              </w:rPr>
              <w:t xml:space="preserve">7 Rata Rd loan is on principal &amp; interest — wrong structure for your situation</w:t>
            </w:r>
          </w:p>
          <w:p>
            <w:pPr>
              <w:spacing w:after="12" w:before="4"/>
            </w:pPr>
            <w:r>
              <w:rPr>
                <w:rFonts w:ascii="Calibri" w:cs="Calibri" w:eastAsia="Calibri" w:hAnsi="Calibri"/>
                <w:color w:val="5A6A80"/>
                <w:sz w:val="22"/>
                <w:szCs w:val="22"/>
              </w:rPr>
              <w:t xml:space="preserve">Switching 7 Rata Rd to interest-only for 2 years would free up ~$320/month in cashflow. We can negotiate with your current lender or across the market.</w:t>
            </w:r>
          </w:p>
          <w:p>
            <w:r>
              <w:rPr>
                <w:rFonts w:ascii="Calibri" w:cs="Calibri" w:eastAsia="Calibri" w:hAnsi="Calibri"/>
                <w:b/>
                <w:bCs/>
                <w:color w:val="B06A00"/>
                <w:sz w:val="21"/>
                <w:szCs w:val="21"/>
              </w:rPr>
              <w:t xml:space="preserve">Estimated uplift: +$3,720/yr</w:t>
            </w:r>
          </w:p>
        </w:tc>
      </w:tr>
    </w:tbl>
    <w:p>
      <w:pPr>
        <w:spacing w:before="12"/>
      </w:pP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tblGrid>
      <w:tr>
        <w:tc>
          <w:tcPr>
            <w:tcBorders>
              <w:top w:val="none" w:color="FFFFFF" w:sz="0" w:space="0"/>
              <w:left w:val="none" w:color="FFFFFF" w:sz="0" w:space="0"/>
              <w:bottom w:val="none" w:color="FFFFFF" w:sz="0" w:space="0"/>
              <w:right w:val="none" w:color="FFFFFF" w:sz="0" w:space="0"/>
            </w:tcBorders>
            <w:shd w:fill="EEF2F9" w:val="clear"/>
            <w:tcMar>
              <w:top w:type="dxa" w:w="144"/>
              <w:left w:type="dxa" w:w="215"/>
              <w:bottom w:type="dxa" w:w="144"/>
              <w:right w:type="dxa" w:w="215"/>
            </w:tcMar>
          </w:tcPr>
          <w:p>
            <w:pPr>
              <w:spacing w:after="4" w:before="8"/>
            </w:pPr>
            <w:r>
              <w:rPr>
                <w:rFonts w:ascii="Calibri" w:cs="Calibri" w:eastAsia="Calibri" w:hAnsi="Calibri"/>
                <w:b/>
                <w:bCs/>
                <w:color w:val="4A7AB5"/>
                <w:sz w:val="19"/>
                <w:szCs w:val="19"/>
              </w:rPr>
              <w:t xml:space="preserve">●  MONITOR  </w:t>
            </w:r>
            <w:r>
              <w:rPr>
                <w:rFonts w:ascii="Calibri" w:cs="Calibri" w:eastAsia="Calibri" w:hAnsi="Calibri"/>
                <w:b/>
                <w:bCs/>
                <w:color w:val="1A2B42"/>
                <w:sz w:val="22"/>
                <w:szCs w:val="22"/>
              </w:rPr>
              <w:t xml:space="preserve">22 Tui Pl yield is below market — hold decision recommended for 2027</w:t>
            </w:r>
          </w:p>
          <w:p>
            <w:pPr>
              <w:spacing w:after="8" w:before="4"/>
            </w:pPr>
            <w:r>
              <w:rPr>
                <w:rFonts w:ascii="Calibri" w:cs="Calibri" w:eastAsia="Calibri" w:hAnsi="Calibri"/>
                <w:color w:val="5A6A80"/>
                <w:sz w:val="22"/>
                <w:szCs w:val="22"/>
              </w:rPr>
              <w:t xml:space="preserve">At 2.4% gross yield and $410k mortgage, this property is your weakest performer. We recommend reviewing the hold/sell decision in 12 months when the fixed rate expires.</w:t>
            </w:r>
          </w:p>
        </w:tc>
      </w:tr>
    </w:tbl>
    <w:p>
      <w:r>
        <w:br w:type="page"/>
      </w:r>
    </w:p>
    <w:p>
      <w:pPr>
        <w:spacing w:after="4" w:before="28"/>
      </w:pPr>
      <w:r>
        <w:rPr>
          <w:rFonts w:ascii="Calibri" w:cs="Calibri" w:eastAsia="Calibri" w:hAnsi="Calibri"/>
          <w:b/>
          <w:bCs/>
          <w:color w:val="1A7A50"/>
          <w:spacing w:val="120"/>
          <w:sz w:val="18"/>
          <w:szCs w:val="18"/>
        </w:rPr>
        <w:t xml:space="preserve">PROPERTY 01 OF 03</w:t>
      </w:r>
    </w:p>
    <w:p>
      <w:pPr>
        <w:spacing w:after="4" w:before="4"/>
      </w:pPr>
      <w:r>
        <w:rPr>
          <w:rFonts w:ascii="Georgia" w:cs="Georgia" w:eastAsia="Georgia" w:hAnsi="Georgia"/>
          <w:color w:val="1A2B42"/>
          <w:sz w:val="44"/>
          <w:szCs w:val="44"/>
        </w:rPr>
        <w:t xml:space="preserve">14 Elm Street, Hamilton</w:t>
      </w:r>
    </w:p>
    <w:p>
      <w:pPr>
        <w:spacing w:after="12" w:before="8"/>
      </w:pPr>
      <w:r>
        <w:rPr>
          <w:rFonts w:ascii="Calibri" w:cs="Calibri" w:eastAsia="Calibri" w:hAnsi="Calibri"/>
          <w:color w:val="5A6A80"/>
          <w:sz w:val="22"/>
          <w:szCs w:val="22"/>
        </w:rPr>
        <w:t xml:space="preserve">3 bedroom · 2 bathroom · 120m² floor · 680m² section · Built 1998</w:t>
      </w:r>
    </w:p>
    <w:p>
      <w:pPr>
        <w:spacing w:after="8" w:before="12"/>
      </w:pPr>
      <w:r>
        <w:rPr>
          <w:rFonts w:ascii="Calibri" w:cs="Calibri" w:eastAsia="Calibri" w:hAnsi="Calibri"/>
          <w:b/>
          <w:bCs/>
          <w:color w:val="97A3B8"/>
          <w:sz w:val="19"/>
          <w:szCs w:val="19"/>
        </w:rPr>
        <w:t xml:space="preserve">GRADE: </w:t>
      </w:r>
      <w:r>
        <w:rPr>
          <w:rFonts w:ascii="Calibri" w:cs="Calibri" w:eastAsia="Calibri" w:hAnsi="Calibri"/>
          <w:b/>
          <w:bCs/>
          <w:color w:val="FFFFFF"/>
          <w:sz w:val="19"/>
          <w:szCs w:val="19"/>
          <w:shd w:fill="1A7A50" w:val="clear"/>
        </w:rPr>
        <w:t xml:space="preserve"> A — ON TRACK </w:t>
      </w:r>
    </w:p>
    <w:p>
      <w:pPr>
        <w:spacing w:after="8" w:before="16"/>
      </w:pPr>
      <w:r>
        <w:rPr>
          <w:rFonts w:ascii="Calibri" w:cs="Calibri" w:eastAsia="Calibri" w:hAnsi="Calibri"/>
          <w:b/>
          <w:bCs/>
          <w:color w:val="1A2B42"/>
          <w:sz w:val="22"/>
          <w:szCs w:val="22"/>
        </w:rPr>
        <w:t xml:space="preserve">Property Metrics</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tblGrid>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Estimated Value (CoreLogic May 2026)</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$760,000</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Mortgage Balance</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$340,000</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LVR</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44.7%</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Gross Yield</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bCs/>
                <w:color w:val="1A7A50"/>
                <w:sz w:val="21"/>
                <w:szCs w:val="21"/>
              </w:rPr>
              <w:t xml:space="preserve">4.8%  ($700/wk rental)</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Net Yield</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3.9%</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Equity</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bCs/>
                <w:color w:val="1A7A50"/>
                <w:sz w:val="21"/>
                <w:szCs w:val="21"/>
              </w:rPr>
              <w:t xml:space="preserve">$420,000  ·  Usable: ~$168k</w:t>
            </w:r>
          </w:p>
        </w:tc>
      </w:tr>
    </w:tbl>
    <w:p>
      <w:pPr>
        <w:spacing w:after="8" w:before="20"/>
      </w:pPr>
      <w:r>
        <w:rPr>
          <w:rFonts w:ascii="Calibri" w:cs="Calibri" w:eastAsia="Calibri" w:hAnsi="Calibri"/>
          <w:b/>
          <w:bCs/>
          <w:color w:val="1A2B42"/>
          <w:sz w:val="22"/>
          <w:szCs w:val="22"/>
        </w:rPr>
        <w:t xml:space="preserve">Loan Structure</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tblGrid>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Loan Type</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Principal &amp; Interest</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Interest Rate</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6.29%</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Fixed Expiry</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October 2026</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Lender</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ANZ</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Recommendation</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Hold structure — refix at market rate Oct 2026</w:t>
            </w:r>
          </w:p>
        </w:tc>
      </w:tr>
    </w:tbl>
    <w:p>
      <w:pPr>
        <w:spacing w:after="8" w:before="20"/>
      </w:pPr>
      <w:r>
        <w:rPr>
          <w:rFonts w:ascii="Calibri" w:cs="Calibri" w:eastAsia="Calibri" w:hAnsi="Calibri"/>
          <w:b/>
          <w:bCs/>
          <w:color w:val="1A2B42"/>
          <w:sz w:val="22"/>
          <w:szCs w:val="22"/>
        </w:rPr>
        <w:t xml:space="preserve">Yield vs. Market</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tblGrid>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Gross Yield — This Property</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bCs/>
                <w:color w:val="1A7A50"/>
                <w:sz w:val="21"/>
                <w:szCs w:val="21"/>
              </w:rPr>
              <w:t xml:space="preserve">4.8%</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Net Yield — This Property</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bCs/>
                <w:color w:val="1A7A50"/>
                <w:sz w:val="21"/>
                <w:szCs w:val="21"/>
              </w:rPr>
              <w:t xml:space="preserve">3.9%</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Market Average Gross Yield (Hamilton)</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4.2%</w:t>
            </w:r>
          </w:p>
        </w:tc>
      </w:tr>
    </w:tbl>
    <w:p>
      <w:pPr>
        <w:spacing w:before="20"/>
      </w:pP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tblGrid>
      <w:tr>
        <w:tc>
          <w:tcPr>
            <w:tcBorders>
              <w:top w:val="none" w:color="FFFFFF" w:sz="0" w:space="0"/>
              <w:left w:val="none" w:color="FFFFFF" w:sz="0" w:space="0"/>
              <w:bottom w:val="none" w:color="FFFFFF" w:sz="0" w:space="0"/>
              <w:right w:val="none" w:color="FFFFFF" w:sz="0" w:space="0"/>
            </w:tcBorders>
            <w:shd w:fill="EAF5EE" w:val="clear"/>
            <w:tcMar>
              <w:top w:type="dxa" w:w="144"/>
              <w:left w:type="dxa" w:w="215"/>
              <w:bottom w:type="dxa" w:w="144"/>
              <w:right w:type="dxa" w:w="215"/>
            </w:tcMar>
          </w:tcPr>
          <w:p>
            <w:pPr>
              <w:spacing w:after="4" w:before="28"/>
            </w:pPr>
            <w:r>
              <w:rPr>
                <w:rFonts w:ascii="Calibri" w:cs="Calibri" w:eastAsia="Calibri" w:hAnsi="Calibri"/>
                <w:b/>
                <w:bCs/>
                <w:color w:val="1A7A50"/>
                <w:spacing w:val="120"/>
                <w:sz w:val="18"/>
                <w:szCs w:val="18"/>
              </w:rPr>
              <w:t xml:space="preserve">RECOMMENDED ACTION</w:t>
            </w:r>
          </w:p>
          <w:p>
            <w:pPr>
              <w:spacing w:after="8" w:before="4"/>
            </w:pPr>
            <w:r>
              <w:rPr>
                <w:rFonts w:ascii="Georgia" w:cs="Georgia" w:eastAsia="Georgia" w:hAnsi="Georgia"/>
                <w:color w:val="1A2B42"/>
                <w:sz w:val="26"/>
                <w:szCs w:val="26"/>
              </w:rPr>
              <w:t xml:space="preserve">Build minor dwelling on rear section</w:t>
            </w:r>
          </w:p>
          <w:p>
            <w:pPr>
              <w:spacing w:after="12" w:before="4"/>
            </w:pPr>
            <w:r>
              <w:rPr>
                <w:rFonts w:ascii="Calibri" w:cs="Calibri" w:eastAsia="Calibri" w:hAnsi="Calibri"/>
                <w:color w:val="5A6A80"/>
                <w:sz w:val="22"/>
                <w:szCs w:val="22"/>
              </w:rPr>
              <w:t xml:space="preserve">The 680m² site exceeds Hamilton's 550m² minimum for a minor dwelling consent. A 65m² one-bedroom unit at the rear would generate an estimated $270–$310/wk additional rental income. We can refer you to a trusted architect and builder for feasibility quotes.</w:t>
            </w:r>
          </w:p>
          <w:p>
            <w:r>
              <w:rPr>
                <w:rFonts w:ascii="Calibri" w:cs="Calibri" w:eastAsia="Calibri" w:hAnsi="Calibri"/>
                <w:color w:val="5A6A80"/>
                <w:sz w:val="21"/>
                <w:szCs w:val="21"/>
              </w:rPr>
              <w:t xml:space="preserve">Estimated cashflow uplift:  </w:t>
            </w:r>
            <w:r>
              <w:rPr>
                <w:rFonts w:ascii="Calibri" w:cs="Calibri" w:eastAsia="Calibri" w:hAnsi="Calibri"/>
                <w:b/>
                <w:bCs/>
                <w:color w:val="1A7A50"/>
                <w:sz w:val="21"/>
                <w:szCs w:val="21"/>
              </w:rPr>
              <w:t xml:space="preserve">+$15,000/yr</w:t>
            </w:r>
            <w:r>
              <w:rPr>
                <w:rFonts w:ascii="Calibri" w:cs="Calibri" w:eastAsia="Calibri" w:hAnsi="Calibri"/>
                <w:color w:val="5A6A80"/>
                <w:sz w:val="21"/>
                <w:szCs w:val="21"/>
              </w:rPr>
              <w:t xml:space="preserve">   ·   Build cost estimate:  </w:t>
            </w:r>
            <w:r>
              <w:rPr>
                <w:rFonts w:ascii="Calibri" w:cs="Calibri" w:eastAsia="Calibri" w:hAnsi="Calibri"/>
                <w:b/>
                <w:bCs/>
                <w:color w:val="1A2B42"/>
                <w:sz w:val="21"/>
                <w:szCs w:val="21"/>
              </w:rPr>
              <w:t xml:space="preserve">$145–175k</w:t>
            </w:r>
          </w:p>
        </w:tc>
      </w:tr>
    </w:tbl>
    <w:p>
      <w:pPr>
        <w:pBdr>
          <w:bottom w:val="single" w:color="DCE3EE" w:sz="4" w:space="1"/>
        </w:pBdr>
        <w:spacing w:after="24" w:before="24"/>
      </w:pPr>
    </w:p>
    <w:p>
      <w:pPr>
        <w:spacing w:after="4" w:before="28"/>
      </w:pPr>
      <w:r>
        <w:rPr>
          <w:rFonts w:ascii="Calibri" w:cs="Calibri" w:eastAsia="Calibri" w:hAnsi="Calibri"/>
          <w:b/>
          <w:bCs/>
          <w:color w:val="1A7A50"/>
          <w:spacing w:val="120"/>
          <w:sz w:val="18"/>
          <w:szCs w:val="18"/>
        </w:rPr>
        <w:t xml:space="preserve">PROPERTY 02 OF 03</w:t>
      </w:r>
    </w:p>
    <w:p>
      <w:pPr>
        <w:spacing w:after="4" w:before="4"/>
      </w:pPr>
      <w:r>
        <w:rPr>
          <w:rFonts w:ascii="Georgia" w:cs="Georgia" w:eastAsia="Georgia" w:hAnsi="Georgia"/>
          <w:color w:val="1A2B42"/>
          <w:sz w:val="44"/>
          <w:szCs w:val="44"/>
        </w:rPr>
        <w:t xml:space="preserve">7 Rata Road, Cambridge</w:t>
      </w:r>
    </w:p>
    <w:p>
      <w:pPr>
        <w:spacing w:after="12" w:before="8"/>
      </w:pPr>
      <w:r>
        <w:rPr>
          <w:rFonts w:ascii="Calibri" w:cs="Calibri" w:eastAsia="Calibri" w:hAnsi="Calibri"/>
          <w:color w:val="5A6A80"/>
          <w:sz w:val="22"/>
          <w:szCs w:val="22"/>
        </w:rPr>
        <w:t xml:space="preserve">2 bedroom · 1 bathroom · 85m² floor · 450m² section · Built 2004</w:t>
      </w:r>
    </w:p>
    <w:p>
      <w:pPr>
        <w:spacing w:after="8" w:before="12"/>
      </w:pPr>
      <w:r>
        <w:rPr>
          <w:rFonts w:ascii="Calibri" w:cs="Calibri" w:eastAsia="Calibri" w:hAnsi="Calibri"/>
          <w:b/>
          <w:bCs/>
          <w:color w:val="97A3B8"/>
          <w:sz w:val="19"/>
          <w:szCs w:val="19"/>
        </w:rPr>
        <w:t xml:space="preserve">GRADE: </w:t>
      </w:r>
      <w:r>
        <w:rPr>
          <w:rFonts w:ascii="Calibri" w:cs="Calibri" w:eastAsia="Calibri" w:hAnsi="Calibri"/>
          <w:b/>
          <w:bCs/>
          <w:color w:val="FFFFFF"/>
          <w:sz w:val="19"/>
          <w:szCs w:val="19"/>
          <w:shd w:fill="B06A00" w:val="clear"/>
        </w:rPr>
        <w:t xml:space="preserve"> B — REVIEW NEEDED </w:t>
      </w:r>
    </w:p>
    <w:p>
      <w:pPr>
        <w:spacing w:after="8" w:before="16"/>
      </w:pPr>
      <w:r>
        <w:rPr>
          <w:rFonts w:ascii="Calibri" w:cs="Calibri" w:eastAsia="Calibri" w:hAnsi="Calibri"/>
          <w:b/>
          <w:bCs/>
          <w:color w:val="1A2B42"/>
          <w:sz w:val="22"/>
          <w:szCs w:val="22"/>
        </w:rPr>
        <w:t xml:space="preserve">Property Metrics</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tblGrid>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Estimated Value (CoreLogic May 2026)</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$540,000</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Mortgage Balance</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$290,000</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LVR</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53.7%</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Gross Yield</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bCs/>
                <w:color w:val="B06A00"/>
                <w:sz w:val="21"/>
                <w:szCs w:val="21"/>
              </w:rPr>
              <w:t xml:space="preserve">3.1%  ($320/wk rental)</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Net Yield</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2.3%</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Equity</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$250,000  ·  Usable: ~$80k</w:t>
            </w:r>
          </w:p>
        </w:tc>
      </w:tr>
    </w:tbl>
    <w:p>
      <w:pPr>
        <w:spacing w:after="8" w:before="20"/>
      </w:pPr>
      <w:r>
        <w:rPr>
          <w:rFonts w:ascii="Calibri" w:cs="Calibri" w:eastAsia="Calibri" w:hAnsi="Calibri"/>
          <w:b/>
          <w:bCs/>
          <w:color w:val="1A2B42"/>
          <w:sz w:val="22"/>
          <w:szCs w:val="22"/>
        </w:rPr>
        <w:t xml:space="preserve">Loan Structure</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tblGrid>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Loan Type</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bCs/>
                <w:color w:val="B06A00"/>
                <w:sz w:val="21"/>
                <w:szCs w:val="21"/>
              </w:rPr>
              <w:t xml:space="preserve">P&amp;I — recommend switch to Interest-Only</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Interest Rate</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6.59%</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Fixed Expiry</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February 2027</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Lender</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Westpac</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Recommendation</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bCs/>
                <w:color w:val="1A7A50"/>
                <w:sz w:val="21"/>
                <w:szCs w:val="21"/>
              </w:rPr>
              <w:t xml:space="preserve">Switch to IO at February 2027 refix</w:t>
            </w:r>
          </w:p>
        </w:tc>
      </w:tr>
    </w:tbl>
    <w:p>
      <w:pPr>
        <w:spacing w:after="8" w:before="20"/>
      </w:pPr>
      <w:r>
        <w:rPr>
          <w:rFonts w:ascii="Calibri" w:cs="Calibri" w:eastAsia="Calibri" w:hAnsi="Calibri"/>
          <w:b/>
          <w:bCs/>
          <w:color w:val="1A2B42"/>
          <w:sz w:val="22"/>
          <w:szCs w:val="22"/>
        </w:rPr>
        <w:t xml:space="preserve">Yield vs. Market</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tblGrid>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Gross Yield — This Property</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bCs/>
                <w:color w:val="B06A00"/>
                <w:sz w:val="21"/>
                <w:szCs w:val="21"/>
              </w:rPr>
              <w:t xml:space="preserve">3.1%</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Net Yield — This Property</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bCs/>
                <w:color w:val="B06A00"/>
                <w:sz w:val="21"/>
                <w:szCs w:val="21"/>
              </w:rPr>
              <w:t xml:space="preserve">2.3%</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Market Average Gross Yield (Cambridge)</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4.2%</w:t>
            </w:r>
          </w:p>
        </w:tc>
      </w:tr>
    </w:tbl>
    <w:p>
      <w:pPr>
        <w:spacing w:before="20"/>
      </w:pP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tblGrid>
      <w:tr>
        <w:tc>
          <w:tcPr>
            <w:tcBorders>
              <w:top w:val="none" w:color="FFFFFF" w:sz="0" w:space="0"/>
              <w:left w:val="none" w:color="FFFFFF" w:sz="0" w:space="0"/>
              <w:bottom w:val="none" w:color="FFFFFF" w:sz="0" w:space="0"/>
              <w:right w:val="none" w:color="FFFFFF" w:sz="0" w:space="0"/>
            </w:tcBorders>
            <w:shd w:fill="FFF8ED" w:val="clear"/>
            <w:tcMar>
              <w:top w:type="dxa" w:w="144"/>
              <w:left w:type="dxa" w:w="215"/>
              <w:bottom w:type="dxa" w:w="144"/>
              <w:right w:type="dxa" w:w="215"/>
            </w:tcMar>
          </w:tcPr>
          <w:p>
            <w:pPr>
              <w:spacing w:after="4" w:before="28"/>
            </w:pPr>
            <w:r>
              <w:rPr>
                <w:rFonts w:ascii="Calibri" w:cs="Calibri" w:eastAsia="Calibri" w:hAnsi="Calibri"/>
                <w:b/>
                <w:bCs/>
                <w:color w:val="B06A00"/>
                <w:spacing w:val="120"/>
                <w:sz w:val="18"/>
                <w:szCs w:val="18"/>
              </w:rPr>
              <w:t xml:space="preserve">RECOMMENDED ACTION</w:t>
            </w:r>
          </w:p>
          <w:p>
            <w:pPr>
              <w:spacing w:after="8" w:before="4"/>
            </w:pPr>
            <w:r>
              <w:rPr>
                <w:rFonts w:ascii="Georgia" w:cs="Georgia" w:eastAsia="Georgia" w:hAnsi="Georgia"/>
                <w:color w:val="1A2B42"/>
                <w:sz w:val="26"/>
                <w:szCs w:val="26"/>
              </w:rPr>
              <w:t xml:space="preserve">Switch to interest-only at February 2027 refix</w:t>
            </w:r>
          </w:p>
          <w:p>
            <w:pPr>
              <w:spacing w:after="12" w:before="4"/>
            </w:pPr>
            <w:r>
              <w:rPr>
                <w:rFonts w:ascii="Calibri" w:cs="Calibri" w:eastAsia="Calibri" w:hAnsi="Calibri"/>
                <w:color w:val="5A6A80"/>
                <w:sz w:val="22"/>
                <w:szCs w:val="22"/>
              </w:rPr>
              <w:t xml:space="preserve">Your current P&amp;I repayments on this property are $1,820/month. Switching to IO at a competitive rate (currently available at ~6.25% IO) would reduce this to ~$1,510/month — freeing up $310/month ($3,720/yr) in cashflow. Given your equity position and overall LVR, lenders will approve this comfortably.</w:t>
            </w:r>
          </w:p>
          <w:p>
            <w:r>
              <w:rPr>
                <w:rFonts w:ascii="Calibri" w:cs="Calibri" w:eastAsia="Calibri" w:hAnsi="Calibri"/>
                <w:color w:val="5A6A80"/>
                <w:sz w:val="21"/>
                <w:szCs w:val="21"/>
              </w:rPr>
              <w:t xml:space="preserve">Estimated cashflow uplift:  </w:t>
            </w:r>
            <w:r>
              <w:rPr>
                <w:rFonts w:ascii="Calibri" w:cs="Calibri" w:eastAsia="Calibri" w:hAnsi="Calibri"/>
                <w:b/>
                <w:bCs/>
                <w:color w:val="B06A00"/>
                <w:sz w:val="21"/>
                <w:szCs w:val="21"/>
              </w:rPr>
              <w:t xml:space="preserve">+$3,720/yr</w:t>
            </w:r>
            <w:r>
              <w:rPr>
                <w:rFonts w:ascii="Calibri" w:cs="Calibri" w:eastAsia="Calibri" w:hAnsi="Calibri"/>
                <w:color w:val="5A6A80"/>
                <w:sz w:val="21"/>
                <w:szCs w:val="21"/>
              </w:rPr>
              <w:t xml:space="preserve">   ·   Action required:  </w:t>
            </w:r>
            <w:r>
              <w:rPr>
                <w:rFonts w:ascii="Calibri" w:cs="Calibri" w:eastAsia="Calibri" w:hAnsi="Calibri"/>
                <w:b/>
                <w:bCs/>
                <w:color w:val="1A2B42"/>
                <w:sz w:val="21"/>
                <w:szCs w:val="21"/>
              </w:rPr>
              <w:t xml:space="preserve">February 2027</w:t>
            </w:r>
          </w:p>
        </w:tc>
      </w:tr>
    </w:tbl>
    <w:p>
      <w:pPr>
        <w:pBdr>
          <w:bottom w:val="single" w:color="DCE3EE" w:sz="4" w:space="1"/>
        </w:pBdr>
        <w:spacing w:after="24" w:before="24"/>
      </w:pPr>
    </w:p>
    <w:p>
      <w:pPr>
        <w:spacing w:after="4" w:before="28"/>
      </w:pPr>
      <w:r>
        <w:rPr>
          <w:rFonts w:ascii="Calibri" w:cs="Calibri" w:eastAsia="Calibri" w:hAnsi="Calibri"/>
          <w:b/>
          <w:bCs/>
          <w:color w:val="1A7A50"/>
          <w:spacing w:val="120"/>
          <w:sz w:val="18"/>
          <w:szCs w:val="18"/>
        </w:rPr>
        <w:t xml:space="preserve">PROPERTY 03 OF 03</w:t>
      </w:r>
    </w:p>
    <w:p>
      <w:pPr>
        <w:spacing w:after="4" w:before="4"/>
      </w:pPr>
      <w:r>
        <w:rPr>
          <w:rFonts w:ascii="Georgia" w:cs="Georgia" w:eastAsia="Georgia" w:hAnsi="Georgia"/>
          <w:color w:val="1A2B42"/>
          <w:sz w:val="44"/>
          <w:szCs w:val="44"/>
        </w:rPr>
        <w:t xml:space="preserve">22 Tui Place, Te Awamutu</w:t>
      </w:r>
    </w:p>
    <w:p>
      <w:pPr>
        <w:spacing w:after="12" w:before="8"/>
      </w:pPr>
      <w:r>
        <w:rPr>
          <w:rFonts w:ascii="Calibri" w:cs="Calibri" w:eastAsia="Calibri" w:hAnsi="Calibri"/>
          <w:color w:val="5A6A80"/>
          <w:sz w:val="22"/>
          <w:szCs w:val="22"/>
        </w:rPr>
        <w:t xml:space="preserve">3 bedroom · 1 bathroom · 105m² floor · 620m² section · Built 1985</w:t>
      </w:r>
    </w:p>
    <w:p>
      <w:pPr>
        <w:spacing w:after="8" w:before="12"/>
      </w:pPr>
      <w:r>
        <w:rPr>
          <w:rFonts w:ascii="Calibri" w:cs="Calibri" w:eastAsia="Calibri" w:hAnsi="Calibri"/>
          <w:b/>
          <w:bCs/>
          <w:color w:val="97A3B8"/>
          <w:sz w:val="19"/>
          <w:szCs w:val="19"/>
        </w:rPr>
        <w:t xml:space="preserve">GRADE: </w:t>
      </w:r>
      <w:r>
        <w:rPr>
          <w:rFonts w:ascii="Calibri" w:cs="Calibri" w:eastAsia="Calibri" w:hAnsi="Calibri"/>
          <w:b/>
          <w:bCs/>
          <w:color w:val="FFFFFF"/>
          <w:sz w:val="19"/>
          <w:szCs w:val="19"/>
          <w:shd w:fill="4A7AB5" w:val="clear"/>
        </w:rPr>
        <w:t xml:space="preserve"> C — OPPORTUNITY </w:t>
      </w:r>
    </w:p>
    <w:p>
      <w:pPr>
        <w:spacing w:after="8" w:before="16"/>
      </w:pPr>
      <w:r>
        <w:rPr>
          <w:rFonts w:ascii="Calibri" w:cs="Calibri" w:eastAsia="Calibri" w:hAnsi="Calibri"/>
          <w:b/>
          <w:bCs/>
          <w:color w:val="1A2B42"/>
          <w:sz w:val="22"/>
          <w:szCs w:val="22"/>
        </w:rPr>
        <w:t xml:space="preserve">Property Metrics</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tblGrid>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Estimated Value (CoreLogic May 2026)</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$620,000</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Mortgage Balance</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$410,000</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LVR</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66.1%</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Gross Yield</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bCs/>
                <w:color w:val="4A7AB5"/>
                <w:sz w:val="21"/>
                <w:szCs w:val="21"/>
              </w:rPr>
              <w:t xml:space="preserve">2.4%  ($285/wk rental)</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Net Yield</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1.6%</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Equity</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$210,000  ·  Usable: ~$36k</w:t>
            </w:r>
          </w:p>
        </w:tc>
      </w:tr>
    </w:tbl>
    <w:p>
      <w:pPr>
        <w:spacing w:after="8" w:before="20"/>
      </w:pPr>
      <w:r>
        <w:rPr>
          <w:rFonts w:ascii="Calibri" w:cs="Calibri" w:eastAsia="Calibri" w:hAnsi="Calibri"/>
          <w:b/>
          <w:bCs/>
          <w:color w:val="1A2B42"/>
          <w:sz w:val="22"/>
          <w:szCs w:val="22"/>
        </w:rPr>
        <w:t xml:space="preserve">Loan Structure</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tblGrid>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Loan Type</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Principal &amp; Interest</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Interest Rate</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6.85%</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Fixed Expiry</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June 2027</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Lender</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BNZ</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Recommendation</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Hold — full review at June 2027 refix</w:t>
            </w:r>
          </w:p>
        </w:tc>
      </w:tr>
    </w:tbl>
    <w:p>
      <w:pPr>
        <w:spacing w:after="8" w:before="20"/>
      </w:pPr>
      <w:r>
        <w:rPr>
          <w:rFonts w:ascii="Calibri" w:cs="Calibri" w:eastAsia="Calibri" w:hAnsi="Calibri"/>
          <w:b/>
          <w:bCs/>
          <w:color w:val="1A2B42"/>
          <w:sz w:val="22"/>
          <w:szCs w:val="22"/>
        </w:rPr>
        <w:t xml:space="preserve">Yield vs. Market</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tblGrid>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Gross Yield — This Property</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bCs/>
                <w:color w:val="4A7AB5"/>
                <w:sz w:val="21"/>
                <w:szCs w:val="21"/>
              </w:rPr>
              <w:t xml:space="preserve">2.4%</w:t>
            </w:r>
          </w:p>
        </w:tc>
      </w:tr>
      <w:tr>
        <w:tc>
          <w:tcPr>
            <w:tcW w:type="pct" w:w="60%"/>
            <w:tcBorders>
              <w:top w:val="none" w:color="FFFFFF" w:sz="0" w:space="0"/>
              <w:left w:val="none" w:color="FFFFFF" w:sz="0" w:space="0"/>
              <w:bottom w:val="single" w:color="DCE3EE" w:sz="2"/>
              <w:right w:val="none" w:color="FFFFFF" w:sz="0" w:space="0"/>
            </w:tcBorders>
            <w:tcMar>
              <w:top w:type="dxa" w:w="72"/>
              <w:left w:type="dxa" w:w="144"/>
              <w:bottom w:type="dxa" w:w="72"/>
              <w:right w:type="dxa" w:w="72"/>
            </w:tcMar>
          </w:tcPr>
          <w:p>
            <w:r>
              <w:rPr>
                <w:rFonts w:ascii="Calibri" w:cs="Calibri" w:eastAsia="Calibri" w:hAnsi="Calibri"/>
                <w:color w:val="5A6A80"/>
                <w:sz w:val="21"/>
                <w:szCs w:val="21"/>
              </w:rPr>
              <w:t xml:space="preserve">Net Yield — This Property</w:t>
            </w:r>
          </w:p>
        </w:tc>
        <w:tc>
          <w:tcPr>
            <w:tcW w:type="pct" w:w="40%"/>
            <w:tcBorders>
              <w:top w:val="none" w:color="FFFFFF" w:sz="0" w:space="0"/>
              <w:left w:val="none" w:color="FFFFFF" w:sz="0" w:space="0"/>
              <w:bottom w:val="single" w:color="DCE3EE" w:sz="2"/>
              <w:right w:val="none" w:color="FFFFFF" w:sz="0" w:space="0"/>
            </w:tcBorders>
            <w:tcMar>
              <w:top w:type="dxa" w:w="72"/>
              <w:left w:type="dxa" w:w="72"/>
              <w:bottom w:type="dxa" w:w="72"/>
              <w:right w:type="dxa" w:w="144"/>
            </w:tcMar>
          </w:tcPr>
          <w:p>
            <w:pPr>
              <w:jc w:val="right"/>
            </w:pPr>
            <w:r>
              <w:rPr>
                <w:rFonts w:ascii="Calibri" w:cs="Calibri" w:eastAsia="Calibri" w:hAnsi="Calibri"/>
                <w:b/>
                <w:bCs/>
                <w:color w:val="4A7AB5"/>
                <w:sz w:val="21"/>
                <w:szCs w:val="21"/>
              </w:rPr>
              <w:t xml:space="preserve">1.6%</w:t>
            </w:r>
          </w:p>
        </w:tc>
      </w:tr>
      <w:tr>
        <w:tc>
          <w:tcPr>
            <w:tcW w:type="pct" w:w="60%"/>
            <w:tcBorders>
              <w:top w:val="none" w:color="FFFFFF" w:sz="0" w:space="0"/>
              <w:left w:val="none" w:color="FFFFFF" w:sz="0" w:space="0"/>
              <w:bottom w:val="single" w:color="DCE3EE" w:sz="2"/>
              <w:right w:val="none" w:color="FFFFFF" w:sz="0" w:space="0"/>
            </w:tcBorders>
            <w:shd w:fill="F4F6FA" w:val="clear"/>
            <w:tcMar>
              <w:top w:type="dxa" w:w="72"/>
              <w:left w:type="dxa" w:w="144"/>
              <w:bottom w:type="dxa" w:w="72"/>
              <w:right w:type="dxa" w:w="72"/>
            </w:tcMar>
          </w:tcPr>
          <w:p>
            <w:r>
              <w:rPr>
                <w:rFonts w:ascii="Calibri" w:cs="Calibri" w:eastAsia="Calibri" w:hAnsi="Calibri"/>
                <w:color w:val="5A6A80"/>
                <w:sz w:val="21"/>
                <w:szCs w:val="21"/>
              </w:rPr>
              <w:t xml:space="preserve">Market Average Gross Yield (Te Awamutu)</w:t>
            </w:r>
          </w:p>
        </w:tc>
        <w:tc>
          <w:tcPr>
            <w:tcW w:type="pct" w:w="40%"/>
            <w:tcBorders>
              <w:top w:val="none" w:color="FFFFFF" w:sz="0" w:space="0"/>
              <w:left w:val="none" w:color="FFFFFF" w:sz="0" w:space="0"/>
              <w:bottom w:val="single" w:color="DCE3EE" w:sz="2"/>
              <w:right w:val="none" w:color="FFFFFF" w:sz="0" w:space="0"/>
            </w:tcBorders>
            <w:shd w:fill="F4F6FA" w:val="clear"/>
            <w:tcMar>
              <w:top w:type="dxa" w:w="72"/>
              <w:left w:type="dxa" w:w="72"/>
              <w:bottom w:type="dxa" w:w="72"/>
              <w:right w:type="dxa" w:w="144"/>
            </w:tcMar>
          </w:tcPr>
          <w:p>
            <w:pPr>
              <w:jc w:val="right"/>
            </w:pPr>
            <w:r>
              <w:rPr>
                <w:rFonts w:ascii="Calibri" w:cs="Calibri" w:eastAsia="Calibri" w:hAnsi="Calibri"/>
                <w:b w:val="false"/>
                <w:bCs w:val="false"/>
                <w:color w:val="1A2B42"/>
                <w:sz w:val="21"/>
                <w:szCs w:val="21"/>
              </w:rPr>
              <w:t xml:space="preserve">4.2%</w:t>
            </w:r>
          </w:p>
        </w:tc>
      </w:tr>
    </w:tbl>
    <w:p>
      <w:pPr>
        <w:spacing w:before="20"/>
      </w:pP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tblGrid>
      <w:tr>
        <w:tc>
          <w:tcPr>
            <w:tcBorders>
              <w:top w:val="none" w:color="FFFFFF" w:sz="0" w:space="0"/>
              <w:left w:val="none" w:color="FFFFFF" w:sz="0" w:space="0"/>
              <w:bottom w:val="none" w:color="FFFFFF" w:sz="0" w:space="0"/>
              <w:right w:val="none" w:color="FFFFFF" w:sz="0" w:space="0"/>
            </w:tcBorders>
            <w:shd w:fill="EEF2F9" w:val="clear"/>
            <w:tcMar>
              <w:top w:type="dxa" w:w="144"/>
              <w:left w:type="dxa" w:w="215"/>
              <w:bottom w:type="dxa" w:w="144"/>
              <w:right w:type="dxa" w:w="215"/>
            </w:tcMar>
          </w:tcPr>
          <w:p>
            <w:pPr>
              <w:spacing w:after="4" w:before="28"/>
            </w:pPr>
            <w:r>
              <w:rPr>
                <w:rFonts w:ascii="Calibri" w:cs="Calibri" w:eastAsia="Calibri" w:hAnsi="Calibri"/>
                <w:b/>
                <w:bCs/>
                <w:color w:val="4A7AB5"/>
                <w:spacing w:val="120"/>
                <w:sz w:val="18"/>
                <w:szCs w:val="18"/>
              </w:rPr>
              <w:t xml:space="preserve">RECOMMENDED ACTION</w:t>
            </w:r>
          </w:p>
          <w:p>
            <w:pPr>
              <w:spacing w:after="8" w:before="4"/>
            </w:pPr>
            <w:r>
              <w:rPr>
                <w:rFonts w:ascii="Georgia" w:cs="Georgia" w:eastAsia="Georgia" w:hAnsi="Georgia"/>
                <w:color w:val="1A2B42"/>
                <w:sz w:val="26"/>
                <w:szCs w:val="26"/>
              </w:rPr>
              <w:t xml:space="preserve">Monitor and decide at June 2027 refix</w:t>
            </w:r>
          </w:p>
          <w:p>
            <w:pPr>
              <w:spacing w:after="12" w:before="4"/>
            </w:pPr>
            <w:r>
              <w:rPr>
                <w:rFonts w:ascii="Calibri" w:cs="Calibri" w:eastAsia="Calibri" w:hAnsi="Calibri"/>
                <w:color w:val="5A6A80"/>
                <w:sz w:val="22"/>
                <w:szCs w:val="22"/>
              </w:rPr>
              <w:t xml:space="preserve">At 2.4% gross yield and 66% LVR, this is your most capital-intensive, lowest-returning property. The 1985 build limits development potential and the Te Awamutu market has shown moderate growth. We recommend holding until the June 2027 refix — at that point we'll run a full sell vs. redeploy analysis against the market and your portfolio goals.</w:t>
            </w:r>
          </w:p>
          <w:p>
            <w:r>
              <w:rPr>
                <w:rFonts w:ascii="Calibri" w:cs="Calibri" w:eastAsia="Calibri" w:hAnsi="Calibri"/>
                <w:color w:val="5A6A80"/>
                <w:sz w:val="21"/>
                <w:szCs w:val="21"/>
              </w:rPr>
              <w:t xml:space="preserve">Next review:  </w:t>
            </w:r>
            <w:r>
              <w:rPr>
                <w:rFonts w:ascii="Calibri" w:cs="Calibri" w:eastAsia="Calibri" w:hAnsi="Calibri"/>
                <w:b/>
                <w:bCs/>
                <w:color w:val="4A7AB5"/>
                <w:sz w:val="21"/>
                <w:szCs w:val="21"/>
              </w:rPr>
              <w:t xml:space="preserve">June 2027</w:t>
            </w:r>
            <w:r>
              <w:rPr>
                <w:rFonts w:ascii="Calibri" w:cs="Calibri" w:eastAsia="Calibri" w:hAnsi="Calibri"/>
                <w:color w:val="5A6A80"/>
                <w:sz w:val="21"/>
                <w:szCs w:val="21"/>
              </w:rPr>
              <w:t xml:space="preserve">   ·   No immediate action required.</w:t>
            </w:r>
          </w:p>
        </w:tc>
      </w:tr>
    </w:tbl>
    <w:p>
      <w:r>
        <w:br w:type="page"/>
      </w:r>
    </w:p>
    <w:p>
      <w:pPr>
        <w:spacing w:after="4" w:before="28"/>
      </w:pPr>
      <w:r>
        <w:rPr>
          <w:rFonts w:ascii="Calibri" w:cs="Calibri" w:eastAsia="Calibri" w:hAnsi="Calibri"/>
          <w:b/>
          <w:bCs/>
          <w:color w:val="1A7A50"/>
          <w:spacing w:val="120"/>
          <w:sz w:val="18"/>
          <w:szCs w:val="18"/>
        </w:rPr>
        <w:t xml:space="preserve">PORTFOLIO PROJECTION</w:t>
      </w:r>
    </w:p>
    <w:p>
      <w:pPr>
        <w:spacing w:after="8" w:before="4"/>
      </w:pPr>
      <w:r>
        <w:rPr>
          <w:rFonts w:ascii="Georgia" w:cs="Georgia" w:eastAsia="Georgia" w:hAnsi="Georgia"/>
          <w:color w:val="1A2B42"/>
          <w:sz w:val="40"/>
          <w:szCs w:val="40"/>
        </w:rPr>
        <w:t xml:space="preserve">Equity trajectory — current vs. optimised</w:t>
      </w:r>
    </w:p>
    <w:p>
      <w:pPr>
        <w:spacing w:after="12" w:before="8"/>
      </w:pPr>
      <w:r>
        <w:rPr>
          <w:rFonts w:ascii="Calibri" w:cs="Calibri" w:eastAsia="Calibri" w:hAnsi="Calibri"/>
          <w:color w:val="5A6A80"/>
          <w:sz w:val="22"/>
          <w:szCs w:val="22"/>
        </w:rPr>
        <w:t xml:space="preserve">Assumes 3.5% p.a. capital growth across all properties. Optimised scenario includes minor dwelling income and IO restructure from 2027.</w:t>
      </w:r>
    </w:p>
    <w:p>
      <w:pPr>
        <w:spacing w:after="8" w:before="20"/>
      </w:pPr>
      <w:r>
        <w:rPr>
          <w:rFonts w:ascii="Calibri" w:cs="Calibri" w:eastAsia="Calibri" w:hAnsi="Calibri"/>
          <w:b/>
          <w:bCs/>
          <w:color w:val="1A2B42"/>
          <w:sz w:val="22"/>
          <w:szCs w:val="22"/>
        </w:rPr>
        <w:t xml:space="preserve">5-Year Equity Forecast</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gridCol w:w="100"/>
        <w:gridCol w:w="100"/>
        <w:gridCol w:w="100"/>
        <w:gridCol w:w="100"/>
        <w:gridCol w:w="100"/>
      </w:tblGrid>
      <w:tr>
        <w:trPr>
          <w:tblHeader/>
        </w:trPr>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pPr>
              <w:jc w:val="center"/>
            </w:pPr>
            <w:r>
              <w:rPr>
                <w:rFonts w:ascii="Calibri" w:cs="Calibri" w:eastAsia="Calibri" w:hAnsi="Calibri"/>
                <w:b/>
                <w:bCs/>
                <w:color w:val="FFFFFF"/>
                <w:sz w:val="18"/>
                <w:szCs w:val="18"/>
              </w:rPr>
              <w:t xml:space="preserve">Year</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pPr>
              <w:jc w:val="center"/>
            </w:pPr>
            <w:r>
              <w:rPr>
                <w:rFonts w:ascii="Calibri" w:cs="Calibri" w:eastAsia="Calibri" w:hAnsi="Calibri"/>
                <w:b/>
                <w:bCs/>
                <w:color w:val="FFFFFF"/>
                <w:sz w:val="18"/>
                <w:szCs w:val="18"/>
              </w:rPr>
              <w:t xml:space="preserve">2026 (Start)</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pPr>
              <w:jc w:val="center"/>
            </w:pPr>
            <w:r>
              <w:rPr>
                <w:rFonts w:ascii="Calibri" w:cs="Calibri" w:eastAsia="Calibri" w:hAnsi="Calibri"/>
                <w:b/>
                <w:bCs/>
                <w:color w:val="FFFFFF"/>
                <w:sz w:val="18"/>
                <w:szCs w:val="18"/>
              </w:rPr>
              <w:t xml:space="preserve">2027</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pPr>
              <w:jc w:val="center"/>
            </w:pPr>
            <w:r>
              <w:rPr>
                <w:rFonts w:ascii="Calibri" w:cs="Calibri" w:eastAsia="Calibri" w:hAnsi="Calibri"/>
                <w:b/>
                <w:bCs/>
                <w:color w:val="FFFFFF"/>
                <w:sz w:val="18"/>
                <w:szCs w:val="18"/>
              </w:rPr>
              <w:t xml:space="preserve">2028</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pPr>
              <w:jc w:val="center"/>
            </w:pPr>
            <w:r>
              <w:rPr>
                <w:rFonts w:ascii="Calibri" w:cs="Calibri" w:eastAsia="Calibri" w:hAnsi="Calibri"/>
                <w:b/>
                <w:bCs/>
                <w:color w:val="FFFFFF"/>
                <w:sz w:val="18"/>
                <w:szCs w:val="18"/>
              </w:rPr>
              <w:t xml:space="preserve">2029</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pPr>
              <w:jc w:val="center"/>
            </w:pPr>
            <w:r>
              <w:rPr>
                <w:rFonts w:ascii="Calibri" w:cs="Calibri" w:eastAsia="Calibri" w:hAnsi="Calibri"/>
                <w:b/>
                <w:bCs/>
                <w:color w:val="FFFFFF"/>
                <w:sz w:val="18"/>
                <w:szCs w:val="18"/>
              </w:rPr>
              <w:t xml:space="preserve">2030</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pPr>
              <w:jc w:val="center"/>
            </w:pPr>
            <w:r>
              <w:rPr>
                <w:rFonts w:ascii="Calibri" w:cs="Calibri" w:eastAsia="Calibri" w:hAnsi="Calibri"/>
                <w:b/>
                <w:bCs/>
                <w:color w:val="FFFFFF"/>
                <w:sz w:val="18"/>
                <w:szCs w:val="18"/>
              </w:rPr>
              <w:t xml:space="preserve">2031</w:t>
            </w:r>
          </w:p>
        </w:tc>
      </w:tr>
      <w:tr>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pPr>
              <w:jc w:val="left"/>
            </w:pPr>
            <w:r>
              <w:rPr>
                <w:rFonts w:ascii="Calibri" w:cs="Calibri" w:eastAsia="Calibri" w:hAnsi="Calibri"/>
                <w:b w:val="false"/>
                <w:bCs w:val="false"/>
                <w:color w:val="5A6A80"/>
                <w:sz w:val="21"/>
                <w:szCs w:val="21"/>
              </w:rPr>
              <w:t xml:space="preserve">Current Trajectory</w:t>
            </w:r>
          </w:p>
        </w:tc>
        <w:tc>
          <w:tcPr>
            <w:tcBorders>
              <w:top w:val="none" w:color="FFFFFF" w:sz="0" w:space="0"/>
              <w:left w:val="none" w:color="FFFFFF" w:sz="0" w:space="0"/>
              <w:bottom w:val="single" w:color="DCE3EE" w:sz="2"/>
              <w:right w:val="none" w:color="FFFFFF" w:sz="0" w:space="0"/>
            </w:tcBorders>
            <w:shd w:fill="FFFFFF" w:val="clear"/>
            <w:tcMar>
              <w:top w:type="dxa" w:w="100"/>
              <w:left w:type="dxa" w:w="144"/>
              <w:bottom w:type="dxa" w:w="100"/>
              <w:right w:type="dxa" w:w="144"/>
            </w:tcMar>
          </w:tcPr>
          <w:p>
            <w:pPr>
              <w:jc w:val="center"/>
            </w:pPr>
            <w:r>
              <w:rPr>
                <w:rFonts w:ascii="Calibri" w:cs="Calibri" w:eastAsia="Calibri" w:hAnsi="Calibri"/>
                <w:b w:val="false"/>
                <w:bCs w:val="false"/>
                <w:color w:val="1A2B42"/>
                <w:sz w:val="21"/>
                <w:szCs w:val="21"/>
              </w:rPr>
              <w:t xml:space="preserve">$412k</w:t>
            </w:r>
          </w:p>
        </w:tc>
        <w:tc>
          <w:tcPr>
            <w:tcBorders>
              <w:top w:val="none" w:color="FFFFFF" w:sz="0" w:space="0"/>
              <w:left w:val="none" w:color="FFFFFF" w:sz="0" w:space="0"/>
              <w:bottom w:val="single" w:color="DCE3EE" w:sz="2"/>
              <w:right w:val="none" w:color="FFFFFF" w:sz="0" w:space="0"/>
            </w:tcBorders>
            <w:shd w:fill="FFFFFF" w:val="clear"/>
            <w:tcMar>
              <w:top w:type="dxa" w:w="100"/>
              <w:left w:type="dxa" w:w="144"/>
              <w:bottom w:type="dxa" w:w="100"/>
              <w:right w:type="dxa" w:w="144"/>
            </w:tcMar>
          </w:tcPr>
          <w:p>
            <w:pPr>
              <w:jc w:val="center"/>
            </w:pPr>
            <w:r>
              <w:rPr>
                <w:rFonts w:ascii="Calibri" w:cs="Calibri" w:eastAsia="Calibri" w:hAnsi="Calibri"/>
                <w:b w:val="false"/>
                <w:bCs w:val="false"/>
                <w:color w:val="1A2B42"/>
                <w:sz w:val="21"/>
                <w:szCs w:val="21"/>
              </w:rPr>
              <w:t xml:space="preserve">$460k</w:t>
            </w:r>
          </w:p>
        </w:tc>
        <w:tc>
          <w:tcPr>
            <w:tcBorders>
              <w:top w:val="none" w:color="FFFFFF" w:sz="0" w:space="0"/>
              <w:left w:val="none" w:color="FFFFFF" w:sz="0" w:space="0"/>
              <w:bottom w:val="single" w:color="DCE3EE" w:sz="2"/>
              <w:right w:val="none" w:color="FFFFFF" w:sz="0" w:space="0"/>
            </w:tcBorders>
            <w:shd w:fill="FFFFFF" w:val="clear"/>
            <w:tcMar>
              <w:top w:type="dxa" w:w="100"/>
              <w:left w:type="dxa" w:w="144"/>
              <w:bottom w:type="dxa" w:w="100"/>
              <w:right w:type="dxa" w:w="144"/>
            </w:tcMar>
          </w:tcPr>
          <w:p>
            <w:pPr>
              <w:jc w:val="center"/>
            </w:pPr>
            <w:r>
              <w:rPr>
                <w:rFonts w:ascii="Calibri" w:cs="Calibri" w:eastAsia="Calibri" w:hAnsi="Calibri"/>
                <w:b w:val="false"/>
                <w:bCs w:val="false"/>
                <w:color w:val="1A2B42"/>
                <w:sz w:val="21"/>
                <w:szCs w:val="21"/>
              </w:rPr>
              <w:t xml:space="preserve">$510k</w:t>
            </w:r>
          </w:p>
        </w:tc>
        <w:tc>
          <w:tcPr>
            <w:tcBorders>
              <w:top w:val="none" w:color="FFFFFF" w:sz="0" w:space="0"/>
              <w:left w:val="none" w:color="FFFFFF" w:sz="0" w:space="0"/>
              <w:bottom w:val="single" w:color="DCE3EE" w:sz="2"/>
              <w:right w:val="none" w:color="FFFFFF" w:sz="0" w:space="0"/>
            </w:tcBorders>
            <w:shd w:fill="FFFFFF" w:val="clear"/>
            <w:tcMar>
              <w:top w:type="dxa" w:w="100"/>
              <w:left w:type="dxa" w:w="144"/>
              <w:bottom w:type="dxa" w:w="100"/>
              <w:right w:type="dxa" w:w="144"/>
            </w:tcMar>
          </w:tcPr>
          <w:p>
            <w:pPr>
              <w:jc w:val="center"/>
            </w:pPr>
            <w:r>
              <w:rPr>
                <w:rFonts w:ascii="Calibri" w:cs="Calibri" w:eastAsia="Calibri" w:hAnsi="Calibri"/>
                <w:b w:val="false"/>
                <w:bCs w:val="false"/>
                <w:color w:val="1A2B42"/>
                <w:sz w:val="21"/>
                <w:szCs w:val="21"/>
              </w:rPr>
              <w:t xml:space="preserve">$562k</w:t>
            </w:r>
          </w:p>
        </w:tc>
        <w:tc>
          <w:tcPr>
            <w:tcBorders>
              <w:top w:val="none" w:color="FFFFFF" w:sz="0" w:space="0"/>
              <w:left w:val="none" w:color="FFFFFF" w:sz="0" w:space="0"/>
              <w:bottom w:val="single" w:color="DCE3EE" w:sz="2"/>
              <w:right w:val="none" w:color="FFFFFF" w:sz="0" w:space="0"/>
            </w:tcBorders>
            <w:shd w:fill="FFFFFF" w:val="clear"/>
            <w:tcMar>
              <w:top w:type="dxa" w:w="100"/>
              <w:left w:type="dxa" w:w="144"/>
              <w:bottom w:type="dxa" w:w="100"/>
              <w:right w:type="dxa" w:w="144"/>
            </w:tcMar>
          </w:tcPr>
          <w:p>
            <w:pPr>
              <w:jc w:val="center"/>
            </w:pPr>
            <w:r>
              <w:rPr>
                <w:rFonts w:ascii="Calibri" w:cs="Calibri" w:eastAsia="Calibri" w:hAnsi="Calibri"/>
                <w:b w:val="false"/>
                <w:bCs w:val="false"/>
                <w:color w:val="1A2B42"/>
                <w:sz w:val="21"/>
                <w:szCs w:val="21"/>
              </w:rPr>
              <w:t xml:space="preserve">$618k</w:t>
            </w:r>
          </w:p>
        </w:tc>
        <w:tc>
          <w:tcPr>
            <w:tcBorders>
              <w:top w:val="none" w:color="FFFFFF" w:sz="0" w:space="0"/>
              <w:left w:val="none" w:color="FFFFFF" w:sz="0" w:space="0"/>
              <w:bottom w:val="single" w:color="DCE3EE" w:sz="2"/>
              <w:right w:val="none" w:color="FFFFFF" w:sz="0" w:space="0"/>
            </w:tcBorders>
            <w:shd w:fill="FFFFFF" w:val="clear"/>
            <w:tcMar>
              <w:top w:type="dxa" w:w="100"/>
              <w:left w:type="dxa" w:w="144"/>
              <w:bottom w:type="dxa" w:w="100"/>
              <w:right w:type="dxa" w:w="144"/>
            </w:tcMar>
          </w:tcPr>
          <w:p>
            <w:pPr>
              <w:jc w:val="center"/>
            </w:pPr>
            <w:r>
              <w:rPr>
                <w:rFonts w:ascii="Calibri" w:cs="Calibri" w:eastAsia="Calibri" w:hAnsi="Calibri"/>
                <w:b/>
                <w:bCs/>
                <w:color w:val="1A2B42"/>
                <w:sz w:val="21"/>
                <w:szCs w:val="21"/>
              </w:rPr>
              <w:t xml:space="preserve">$800k</w:t>
            </w:r>
          </w:p>
        </w:tc>
      </w:tr>
      <w:tr>
        <w:tc>
          <w:tcPr>
            <w:tcBorders>
              <w:top w:val="none" w:color="FFFFFF" w:sz="0" w:space="0"/>
              <w:left w:val="none" w:color="FFFFFF" w:sz="0" w:space="0"/>
              <w:bottom w:val="none" w:color="FFFFFF" w:sz="0" w:space="0"/>
              <w:right w:val="none" w:color="FFFFFF" w:sz="0" w:space="0"/>
            </w:tcBorders>
            <w:shd w:fill="F4F6FA" w:val="clear"/>
            <w:tcMar>
              <w:top w:type="dxa" w:w="100"/>
              <w:left w:type="dxa" w:w="144"/>
              <w:bottom w:type="dxa" w:w="100"/>
              <w:right w:type="dxa" w:w="144"/>
            </w:tcMar>
          </w:tcPr>
          <w:p>
            <w:pPr>
              <w:jc w:val="left"/>
            </w:pPr>
            <w:r>
              <w:rPr>
                <w:rFonts w:ascii="Calibri" w:cs="Calibri" w:eastAsia="Calibri" w:hAnsi="Calibri"/>
                <w:b w:val="false"/>
                <w:bCs w:val="false"/>
                <w:color w:val="5A6A80"/>
                <w:sz w:val="21"/>
                <w:szCs w:val="21"/>
              </w:rPr>
              <w:t xml:space="preserve">Optimised (w/ actions)</w:t>
            </w:r>
          </w:p>
        </w:tc>
        <w:tc>
          <w:tcPr>
            <w:tcBorders>
              <w:top w:val="none" w:color="FFFFFF" w:sz="0" w:space="0"/>
              <w:left w:val="none" w:color="FFFFFF" w:sz="0" w:space="0"/>
              <w:bottom w:val="none" w:color="FFFFFF" w:sz="0" w:space="0"/>
              <w:right w:val="none" w:color="FFFFFF" w:sz="0" w:space="0"/>
            </w:tcBorders>
            <w:shd w:fill="EAF5EE" w:val="clear"/>
            <w:tcMar>
              <w:top w:type="dxa" w:w="100"/>
              <w:left w:type="dxa" w:w="144"/>
              <w:bottom w:type="dxa" w:w="100"/>
              <w:right w:type="dxa" w:w="144"/>
            </w:tcMar>
          </w:tcPr>
          <w:p>
            <w:pPr>
              <w:jc w:val="center"/>
            </w:pPr>
            <w:r>
              <w:rPr>
                <w:rFonts w:ascii="Calibri" w:cs="Calibri" w:eastAsia="Calibri" w:hAnsi="Calibri"/>
                <w:b/>
                <w:bCs/>
                <w:color w:val="1A7A50"/>
                <w:sz w:val="21"/>
                <w:szCs w:val="21"/>
              </w:rPr>
              <w:t xml:space="preserve">$412k</w:t>
            </w:r>
          </w:p>
        </w:tc>
        <w:tc>
          <w:tcPr>
            <w:tcBorders>
              <w:top w:val="none" w:color="FFFFFF" w:sz="0" w:space="0"/>
              <w:left w:val="none" w:color="FFFFFF" w:sz="0" w:space="0"/>
              <w:bottom w:val="none" w:color="FFFFFF" w:sz="0" w:space="0"/>
              <w:right w:val="none" w:color="FFFFFF" w:sz="0" w:space="0"/>
            </w:tcBorders>
            <w:shd w:fill="EAF5EE" w:val="clear"/>
            <w:tcMar>
              <w:top w:type="dxa" w:w="100"/>
              <w:left w:type="dxa" w:w="144"/>
              <w:bottom w:type="dxa" w:w="100"/>
              <w:right w:type="dxa" w:w="144"/>
            </w:tcMar>
          </w:tcPr>
          <w:p>
            <w:pPr>
              <w:jc w:val="center"/>
            </w:pPr>
            <w:r>
              <w:rPr>
                <w:rFonts w:ascii="Calibri" w:cs="Calibri" w:eastAsia="Calibri" w:hAnsi="Calibri"/>
                <w:b/>
                <w:bCs/>
                <w:color w:val="1A7A50"/>
                <w:sz w:val="21"/>
                <w:szCs w:val="21"/>
              </w:rPr>
              <w:t xml:space="preserve">$468k</w:t>
            </w:r>
          </w:p>
        </w:tc>
        <w:tc>
          <w:tcPr>
            <w:tcBorders>
              <w:top w:val="none" w:color="FFFFFF" w:sz="0" w:space="0"/>
              <w:left w:val="none" w:color="FFFFFF" w:sz="0" w:space="0"/>
              <w:bottom w:val="none" w:color="FFFFFF" w:sz="0" w:space="0"/>
              <w:right w:val="none" w:color="FFFFFF" w:sz="0" w:space="0"/>
            </w:tcBorders>
            <w:shd w:fill="EAF5EE" w:val="clear"/>
            <w:tcMar>
              <w:top w:type="dxa" w:w="100"/>
              <w:left w:type="dxa" w:w="144"/>
              <w:bottom w:type="dxa" w:w="100"/>
              <w:right w:type="dxa" w:w="144"/>
            </w:tcMar>
          </w:tcPr>
          <w:p>
            <w:pPr>
              <w:jc w:val="center"/>
            </w:pPr>
            <w:r>
              <w:rPr>
                <w:rFonts w:ascii="Calibri" w:cs="Calibri" w:eastAsia="Calibri" w:hAnsi="Calibri"/>
                <w:b/>
                <w:bCs/>
                <w:color w:val="1A7A50"/>
                <w:sz w:val="21"/>
                <w:szCs w:val="21"/>
              </w:rPr>
              <w:t xml:space="preserve">$530k</w:t>
            </w:r>
          </w:p>
        </w:tc>
        <w:tc>
          <w:tcPr>
            <w:tcBorders>
              <w:top w:val="none" w:color="FFFFFF" w:sz="0" w:space="0"/>
              <w:left w:val="none" w:color="FFFFFF" w:sz="0" w:space="0"/>
              <w:bottom w:val="none" w:color="FFFFFF" w:sz="0" w:space="0"/>
              <w:right w:val="none" w:color="FFFFFF" w:sz="0" w:space="0"/>
            </w:tcBorders>
            <w:shd w:fill="EAF5EE" w:val="clear"/>
            <w:tcMar>
              <w:top w:type="dxa" w:w="100"/>
              <w:left w:type="dxa" w:w="144"/>
              <w:bottom w:type="dxa" w:w="100"/>
              <w:right w:type="dxa" w:w="144"/>
            </w:tcMar>
          </w:tcPr>
          <w:p>
            <w:pPr>
              <w:jc w:val="center"/>
            </w:pPr>
            <w:r>
              <w:rPr>
                <w:rFonts w:ascii="Calibri" w:cs="Calibri" w:eastAsia="Calibri" w:hAnsi="Calibri"/>
                <w:b/>
                <w:bCs/>
                <w:color w:val="1A7A50"/>
                <w:sz w:val="21"/>
                <w:szCs w:val="21"/>
              </w:rPr>
              <w:t xml:space="preserve">$600k</w:t>
            </w:r>
          </w:p>
        </w:tc>
        <w:tc>
          <w:tcPr>
            <w:tcBorders>
              <w:top w:val="none" w:color="FFFFFF" w:sz="0" w:space="0"/>
              <w:left w:val="none" w:color="FFFFFF" w:sz="0" w:space="0"/>
              <w:bottom w:val="none" w:color="FFFFFF" w:sz="0" w:space="0"/>
              <w:right w:val="none" w:color="FFFFFF" w:sz="0" w:space="0"/>
            </w:tcBorders>
            <w:shd w:fill="EAF5EE" w:val="clear"/>
            <w:tcMar>
              <w:top w:type="dxa" w:w="100"/>
              <w:left w:type="dxa" w:w="144"/>
              <w:bottom w:type="dxa" w:w="100"/>
              <w:right w:type="dxa" w:w="144"/>
            </w:tcMar>
          </w:tcPr>
          <w:p>
            <w:pPr>
              <w:jc w:val="center"/>
            </w:pPr>
            <w:r>
              <w:rPr>
                <w:rFonts w:ascii="Calibri" w:cs="Calibri" w:eastAsia="Calibri" w:hAnsi="Calibri"/>
                <w:b/>
                <w:bCs/>
                <w:color w:val="1A7A50"/>
                <w:sz w:val="21"/>
                <w:szCs w:val="21"/>
              </w:rPr>
              <w:t xml:space="preserve">$720k</w:t>
            </w:r>
          </w:p>
        </w:tc>
        <w:tc>
          <w:tcPr>
            <w:tcBorders>
              <w:top w:val="none" w:color="FFFFFF" w:sz="0" w:space="0"/>
              <w:left w:val="none" w:color="FFFFFF" w:sz="0" w:space="0"/>
              <w:bottom w:val="none" w:color="FFFFFF" w:sz="0" w:space="0"/>
              <w:right w:val="none" w:color="FFFFFF" w:sz="0" w:space="0"/>
            </w:tcBorders>
            <w:shd w:fill="EAF5EE" w:val="clear"/>
            <w:tcMar>
              <w:top w:type="dxa" w:w="100"/>
              <w:left w:type="dxa" w:w="144"/>
              <w:bottom w:type="dxa" w:w="100"/>
              <w:right w:type="dxa" w:w="144"/>
            </w:tcMar>
          </w:tcPr>
          <w:p>
            <w:pPr>
              <w:jc w:val="center"/>
            </w:pPr>
            <w:r>
              <w:rPr>
                <w:rFonts w:ascii="Calibri" w:cs="Calibri" w:eastAsia="Calibri" w:hAnsi="Calibri"/>
                <w:b/>
                <w:bCs/>
                <w:color w:val="1A7A50"/>
                <w:sz w:val="21"/>
                <w:szCs w:val="21"/>
              </w:rPr>
              <w:t xml:space="preserve">$860k</w:t>
            </w:r>
          </w:p>
        </w:tc>
      </w:tr>
    </w:tbl>
    <w:p>
      <w:pPr>
        <w:spacing w:after="8" w:before="16"/>
      </w:pPr>
      <w:r>
        <w:rPr>
          <w:rFonts w:ascii="Calibri" w:cs="Calibri" w:eastAsia="Calibri" w:hAnsi="Calibri"/>
          <w:color w:val="5A6A80"/>
          <w:sz w:val="22"/>
          <w:szCs w:val="22"/>
        </w:rPr>
        <w:t xml:space="preserve">Additional equity by 2031 (optimised vs. current):  </w:t>
      </w:r>
      <w:r>
        <w:rPr>
          <w:rFonts w:ascii="Calibri" w:cs="Calibri" w:eastAsia="Calibri" w:hAnsi="Calibri"/>
          <w:b/>
          <w:bCs/>
          <w:color w:val="1A7A50"/>
          <w:sz w:val="26"/>
          <w:szCs w:val="26"/>
        </w:rPr>
        <w:t xml:space="preserve">+$60,000</w:t>
      </w:r>
    </w:p>
    <w:p>
      <w:pPr>
        <w:pBdr>
          <w:bottom w:val="single" w:color="DCE3EE" w:sz="4" w:space="1"/>
        </w:pBdr>
        <w:spacing w:after="24" w:before="24"/>
      </w:pPr>
    </w:p>
    <w:p>
      <w:pPr>
        <w:spacing w:after="4" w:before="28"/>
      </w:pPr>
      <w:r>
        <w:rPr>
          <w:rFonts w:ascii="Calibri" w:cs="Calibri" w:eastAsia="Calibri" w:hAnsi="Calibri"/>
          <w:b/>
          <w:bCs/>
          <w:color w:val="1A7A50"/>
          <w:spacing w:val="120"/>
          <w:sz w:val="18"/>
          <w:szCs w:val="18"/>
        </w:rPr>
        <w:t xml:space="preserve">PRIORITISED ACTIONS</w:t>
      </w:r>
    </w:p>
    <w:p>
      <w:pPr>
        <w:spacing w:after="12" w:before="4"/>
      </w:pPr>
      <w:r>
        <w:rPr>
          <w:rFonts w:ascii="Georgia" w:cs="Georgia" w:eastAsia="Georgia" w:hAnsi="Georgia"/>
          <w:color w:val="1A2B42"/>
          <w:sz w:val="40"/>
          <w:szCs w:val="40"/>
        </w:rPr>
        <w:t xml:space="preserve">Your ranked action plan</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gridCol w:w="100"/>
        <w:gridCol w:w="100"/>
        <w:gridCol w:w="100"/>
      </w:tblGrid>
      <w:tr>
        <w:trPr>
          <w:tblHeader/>
        </w:trPr>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r>
              <w:rPr>
                <w:rFonts w:ascii="Calibri" w:cs="Calibri" w:eastAsia="Calibri" w:hAnsi="Calibri"/>
                <w:b/>
                <w:bCs/>
                <w:color w:val="FFFFFF"/>
                <w:spacing w:val="80"/>
                <w:sz w:val="18"/>
                <w:szCs w:val="18"/>
              </w:rPr>
              <w:t xml:space="preserve">#</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r>
              <w:rPr>
                <w:rFonts w:ascii="Calibri" w:cs="Calibri" w:eastAsia="Calibri" w:hAnsi="Calibri"/>
                <w:b/>
                <w:bCs/>
                <w:color w:val="FFFFFF"/>
                <w:spacing w:val="80"/>
                <w:sz w:val="18"/>
                <w:szCs w:val="18"/>
              </w:rPr>
              <w:t xml:space="preserve">Action</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r>
              <w:rPr>
                <w:rFonts w:ascii="Calibri" w:cs="Calibri" w:eastAsia="Calibri" w:hAnsi="Calibri"/>
                <w:b/>
                <w:bCs/>
                <w:color w:val="FFFFFF"/>
                <w:spacing w:val="80"/>
                <w:sz w:val="18"/>
                <w:szCs w:val="18"/>
              </w:rPr>
              <w:t xml:space="preserve">Priority</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r>
              <w:rPr>
                <w:rFonts w:ascii="Calibri" w:cs="Calibri" w:eastAsia="Calibri" w:hAnsi="Calibri"/>
                <w:b/>
                <w:bCs/>
                <w:color w:val="FFFFFF"/>
                <w:spacing w:val="80"/>
                <w:sz w:val="18"/>
                <w:szCs w:val="18"/>
              </w:rPr>
              <w:t xml:space="preserve">Cashflow Impact</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r>
              <w:rPr>
                <w:rFonts w:ascii="Calibri" w:cs="Calibri" w:eastAsia="Calibri" w:hAnsi="Calibri"/>
                <w:b/>
                <w:bCs/>
                <w:color w:val="FFFFFF"/>
                <w:spacing w:val="80"/>
                <w:sz w:val="18"/>
                <w:szCs w:val="18"/>
              </w:rPr>
              <w:t xml:space="preserve">Timeline</w:t>
            </w:r>
          </w:p>
        </w:tc>
      </w:tr>
      <w:tr>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1</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Build minor dwelling — 14 Elm St, Hamilton
(Council consent required · ~6 month build)</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7A50"/>
                <w:sz w:val="21"/>
                <w:szCs w:val="21"/>
              </w:rPr>
              <w:t xml:space="preserve">HIGH</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bCs/>
                <w:color w:val="1A7A50"/>
                <w:sz w:val="21"/>
                <w:szCs w:val="21"/>
              </w:rPr>
              <w:t xml:space="preserve">+$15,000/yr</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Q3–Q4 2026</w:t>
            </w:r>
          </w:p>
        </w:tc>
      </w:tr>
      <w:tr>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val="false"/>
                <w:bCs w:val="false"/>
                <w:color w:val="1A2B42"/>
                <w:sz w:val="21"/>
                <w:szCs w:val="21"/>
              </w:rPr>
              <w:t xml:space="preserve">2</w:t>
            </w:r>
          </w:p>
        </w:tc>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val="false"/>
                <w:bCs w:val="false"/>
                <w:color w:val="1A2B42"/>
                <w:sz w:val="21"/>
                <w:szCs w:val="21"/>
              </w:rPr>
              <w:t xml:space="preserve">Switch 7 Rata Rd to interest-only
(At February 2027 refix · No cost to switch)</w:t>
            </w:r>
          </w:p>
        </w:tc>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val="false"/>
                <w:bCs w:val="false"/>
                <w:color w:val="1A7A50"/>
                <w:sz w:val="21"/>
                <w:szCs w:val="21"/>
              </w:rPr>
              <w:t xml:space="preserve">HIGH</w:t>
            </w:r>
          </w:p>
        </w:tc>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bCs/>
                <w:color w:val="1A7A50"/>
                <w:sz w:val="21"/>
                <w:szCs w:val="21"/>
              </w:rPr>
              <w:t xml:space="preserve">+$3,720/yr</w:t>
            </w:r>
          </w:p>
        </w:tc>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val="false"/>
                <w:bCs w:val="false"/>
                <w:color w:val="1A2B42"/>
                <w:sz w:val="21"/>
                <w:szCs w:val="21"/>
              </w:rPr>
              <w:t xml:space="preserve">Feb 2027</w:t>
            </w:r>
          </w:p>
        </w:tc>
      </w:tr>
      <w:tr>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3</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Review 14 Elm St rate at October 2026 refix
(Current 6.29% — market rate may be lower)</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7A50"/>
                <w:sz w:val="21"/>
                <w:szCs w:val="21"/>
              </w:rPr>
              <w:t xml:space="preserve">MEDIUM</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bCs/>
                <w:color w:val="1A7A50"/>
                <w:sz w:val="21"/>
                <w:szCs w:val="21"/>
              </w:rPr>
              <w:t xml:space="preserve">+$800–2,400/yr</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Oct 2026</w:t>
            </w:r>
          </w:p>
        </w:tc>
      </w:tr>
      <w:tr>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val="false"/>
                <w:bCs w:val="false"/>
                <w:color w:val="1A2B42"/>
                <w:sz w:val="21"/>
                <w:szCs w:val="21"/>
              </w:rPr>
              <w:t xml:space="preserve">4</w:t>
            </w:r>
          </w:p>
        </w:tc>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val="false"/>
                <w:bCs w:val="false"/>
                <w:color w:val="1A2B42"/>
                <w:sz w:val="21"/>
                <w:szCs w:val="21"/>
              </w:rPr>
              <w:t xml:space="preserve">Hold/sell decision — 22 Tui Pl, Te Awamutu
(June 2027 refix — full sell vs. redeploy analysis)</w:t>
            </w:r>
          </w:p>
        </w:tc>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val="false"/>
                <w:bCs w:val="false"/>
                <w:color w:val="1A7A50"/>
                <w:sz w:val="21"/>
                <w:szCs w:val="21"/>
              </w:rPr>
              <w:t xml:space="preserve">MONITOR</w:t>
            </w:r>
          </w:p>
        </w:tc>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bCs/>
                <w:color w:val="1A7A50"/>
                <w:sz w:val="21"/>
                <w:szCs w:val="21"/>
              </w:rPr>
              <w:t xml:space="preserve">TBC</w:t>
            </w:r>
          </w:p>
        </w:tc>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val="false"/>
                <w:bCs w:val="false"/>
                <w:color w:val="1A2B42"/>
                <w:sz w:val="21"/>
                <w:szCs w:val="21"/>
              </w:rPr>
              <w:t xml:space="preserve">Jun 2027</w:t>
            </w:r>
          </w:p>
        </w:tc>
      </w:tr>
    </w:tbl>
    <w:p>
      <w:pPr>
        <w:pBdr>
          <w:bottom w:val="single" w:color="DCE3EE" w:sz="4" w:space="1"/>
        </w:pBdr>
        <w:spacing w:after="24" w:before="24"/>
      </w:pPr>
    </w:p>
    <w:p>
      <w:pPr>
        <w:spacing w:after="4" w:before="28"/>
      </w:pPr>
      <w:r>
        <w:rPr>
          <w:rFonts w:ascii="Calibri" w:cs="Calibri" w:eastAsia="Calibri" w:hAnsi="Calibri"/>
          <w:b/>
          <w:bCs/>
          <w:color w:val="1A7A50"/>
          <w:spacing w:val="120"/>
          <w:sz w:val="18"/>
          <w:szCs w:val="18"/>
        </w:rPr>
        <w:t xml:space="preserve">LOAN STRUCTURE REVIEW</w:t>
      </w:r>
    </w:p>
    <w:p>
      <w:pPr>
        <w:spacing w:after="12" w:before="4"/>
      </w:pPr>
      <w:r>
        <w:rPr>
          <w:rFonts w:ascii="Georgia" w:cs="Georgia" w:eastAsia="Georgia" w:hAnsi="Georgia"/>
          <w:color w:val="1A2B42"/>
          <w:sz w:val="40"/>
          <w:szCs w:val="40"/>
        </w:rPr>
        <w:t xml:space="preserve">Current vs. recommended structure</w:t>
      </w:r>
    </w:p>
    <w:tbl>
      <w:tblPr>
        <w:tblW w:type="pct" w:w="100%"/>
        <w:tblBorders>
          <w:top w:val="none" w:color="FFFFFF" w:sz="0" w:space="0"/>
          <w:left w:val="none" w:color="FFFFFF" w:sz="0" w:space="0"/>
          <w:bottom w:val="none" w:color="FFFFFF" w:sz="0" w:space="0"/>
          <w:right w:val="none" w:color="FFFFFF" w:sz="0" w:space="0"/>
          <w:insideH w:val="single" w:color="auto" w:sz="4"/>
          <w:insideV w:val="single" w:color="auto" w:sz="4"/>
        </w:tblBorders>
      </w:tblPr>
      <w:tblGrid>
        <w:gridCol w:w="100"/>
        <w:gridCol w:w="100"/>
        <w:gridCol w:w="100"/>
        <w:gridCol w:w="100"/>
        <w:gridCol w:w="100"/>
        <w:gridCol w:w="100"/>
      </w:tblGrid>
      <w:tr>
        <w:trPr>
          <w:tblHeader/>
        </w:trPr>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r>
              <w:rPr>
                <w:rFonts w:ascii="Calibri" w:cs="Calibri" w:eastAsia="Calibri" w:hAnsi="Calibri"/>
                <w:b/>
                <w:bCs/>
                <w:color w:val="FFFFFF"/>
                <w:sz w:val="18"/>
                <w:szCs w:val="18"/>
              </w:rPr>
              <w:t xml:space="preserve">Property</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r>
              <w:rPr>
                <w:rFonts w:ascii="Calibri" w:cs="Calibri" w:eastAsia="Calibri" w:hAnsi="Calibri"/>
                <w:b/>
                <w:bCs/>
                <w:color w:val="FFFFFF"/>
                <w:sz w:val="18"/>
                <w:szCs w:val="18"/>
              </w:rPr>
              <w:t xml:space="preserve">Current</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r>
              <w:rPr>
                <w:rFonts w:ascii="Calibri" w:cs="Calibri" w:eastAsia="Calibri" w:hAnsi="Calibri"/>
                <w:b/>
                <w:bCs/>
                <w:color w:val="FFFFFF"/>
                <w:sz w:val="18"/>
                <w:szCs w:val="18"/>
              </w:rPr>
              <w:t xml:space="preserve">Rate</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r>
              <w:rPr>
                <w:rFonts w:ascii="Calibri" w:cs="Calibri" w:eastAsia="Calibri" w:hAnsi="Calibri"/>
                <w:b/>
                <w:bCs/>
                <w:color w:val="FFFFFF"/>
                <w:sz w:val="18"/>
                <w:szCs w:val="18"/>
              </w:rPr>
              <w:t xml:space="preserve">Recommended</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r>
              <w:rPr>
                <w:rFonts w:ascii="Calibri" w:cs="Calibri" w:eastAsia="Calibri" w:hAnsi="Calibri"/>
                <w:b/>
                <w:bCs/>
                <w:color w:val="FFFFFF"/>
                <w:sz w:val="18"/>
                <w:szCs w:val="18"/>
              </w:rPr>
              <w:t xml:space="preserve">Est. Saving</w:t>
            </w:r>
          </w:p>
        </w:tc>
        <w:tc>
          <w:tcPr>
            <w:tcBorders>
              <w:top w:val="none" w:color="FFFFFF" w:sz="0" w:space="0"/>
              <w:left w:val="none" w:color="FFFFFF" w:sz="0" w:space="0"/>
              <w:bottom w:val="none" w:color="FFFFFF" w:sz="0" w:space="0"/>
              <w:right w:val="none" w:color="FFFFFF" w:sz="0" w:space="0"/>
            </w:tcBorders>
            <w:shd w:fill="1A2B42" w:val="clear"/>
            <w:tcMar>
              <w:top w:type="dxa" w:w="100"/>
              <w:left w:type="dxa" w:w="144"/>
              <w:bottom w:type="dxa" w:w="100"/>
              <w:right w:type="dxa" w:w="144"/>
            </w:tcMar>
          </w:tcPr>
          <w:p>
            <w:r>
              <w:rPr>
                <w:rFonts w:ascii="Calibri" w:cs="Calibri" w:eastAsia="Calibri" w:hAnsi="Calibri"/>
                <w:b/>
                <w:bCs/>
                <w:color w:val="FFFFFF"/>
                <w:sz w:val="18"/>
                <w:szCs w:val="18"/>
              </w:rPr>
              <w:t xml:space="preserve">Action</w:t>
            </w:r>
          </w:p>
        </w:tc>
      </w:tr>
      <w:tr>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14 Elm St, Hamilton</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P&amp;I · ANZ</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6.29%</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7A50"/>
                <w:sz w:val="21"/>
                <w:szCs w:val="21"/>
              </w:rPr>
              <w:t xml:space="preserve">Refix P&amp;I — shop market</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bCs/>
                <w:color w:val="1A7A50"/>
                <w:sz w:val="21"/>
                <w:szCs w:val="21"/>
              </w:rPr>
              <w:t xml:space="preserve">$800–2,400/yr</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Oct 2026</w:t>
            </w:r>
          </w:p>
        </w:tc>
      </w:tr>
      <w:tr>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val="false"/>
                <w:bCs w:val="false"/>
                <w:color w:val="1A2B42"/>
                <w:sz w:val="21"/>
                <w:szCs w:val="21"/>
              </w:rPr>
              <w:t xml:space="preserve">7 Rata Rd, Cambridge</w:t>
            </w:r>
          </w:p>
        </w:tc>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val="false"/>
                <w:bCs w:val="false"/>
                <w:color w:val="1A2B42"/>
                <w:sz w:val="21"/>
                <w:szCs w:val="21"/>
              </w:rPr>
              <w:t xml:space="preserve">P&amp;I · Westpac</w:t>
            </w:r>
          </w:p>
        </w:tc>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val="false"/>
                <w:bCs w:val="false"/>
                <w:color w:val="1A2B42"/>
                <w:sz w:val="21"/>
                <w:szCs w:val="21"/>
              </w:rPr>
              <w:t xml:space="preserve">6.59%</w:t>
            </w:r>
          </w:p>
        </w:tc>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val="false"/>
                <w:bCs w:val="false"/>
                <w:color w:val="1A7A50"/>
                <w:sz w:val="21"/>
                <w:szCs w:val="21"/>
              </w:rPr>
              <w:t xml:space="preserve">IO — negotiate at refix</w:t>
            </w:r>
          </w:p>
        </w:tc>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bCs/>
                <w:color w:val="1A7A50"/>
                <w:sz w:val="21"/>
                <w:szCs w:val="21"/>
              </w:rPr>
              <w:t xml:space="preserve">$3,720/yr</w:t>
            </w:r>
          </w:p>
        </w:tc>
        <w:tc>
          <w:tcPr>
            <w:tcBorders>
              <w:top w:val="none" w:color="FFFFFF" w:sz="0" w:space="0"/>
              <w:left w:val="none" w:color="FFFFFF" w:sz="0" w:space="0"/>
              <w:bottom w:val="single" w:color="DCE3EE" w:sz="2"/>
              <w:right w:val="none" w:color="FFFFFF" w:sz="0" w:space="0"/>
            </w:tcBorders>
            <w:tcMar>
              <w:top w:type="dxa" w:w="100"/>
              <w:left w:type="dxa" w:w="144"/>
              <w:bottom w:type="dxa" w:w="100"/>
              <w:right w:type="dxa" w:w="144"/>
            </w:tcMar>
          </w:tcPr>
          <w:p>
            <w:r>
              <w:rPr>
                <w:rFonts w:ascii="Calibri" w:cs="Calibri" w:eastAsia="Calibri" w:hAnsi="Calibri"/>
                <w:b w:val="false"/>
                <w:bCs w:val="false"/>
                <w:color w:val="1A2B42"/>
                <w:sz w:val="21"/>
                <w:szCs w:val="21"/>
              </w:rPr>
              <w:t xml:space="preserve">Feb 2027</w:t>
            </w:r>
          </w:p>
        </w:tc>
      </w:tr>
      <w:tr>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22 Tui Pl, Te Awamutu</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P&amp;I · BNZ</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6.85%</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7A50"/>
                <w:sz w:val="21"/>
                <w:szCs w:val="21"/>
              </w:rPr>
              <w:t xml:space="preserve">Hold — review at refix</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bCs/>
                <w:color w:val="1A7A50"/>
                <w:sz w:val="21"/>
                <w:szCs w:val="21"/>
              </w:rPr>
              <w:t xml:space="preserve">TBC</w:t>
            </w:r>
          </w:p>
        </w:tc>
        <w:tc>
          <w:tcPr>
            <w:tcBorders>
              <w:top w:val="none" w:color="FFFFFF" w:sz="0" w:space="0"/>
              <w:left w:val="none" w:color="FFFFFF" w:sz="0" w:space="0"/>
              <w:bottom w:val="single" w:color="DCE3EE" w:sz="2"/>
              <w:right w:val="none" w:color="FFFFFF" w:sz="0" w:space="0"/>
            </w:tcBorders>
            <w:shd w:fill="F4F6FA" w:val="clear"/>
            <w:tcMar>
              <w:top w:type="dxa" w:w="100"/>
              <w:left w:type="dxa" w:w="144"/>
              <w:bottom w:type="dxa" w:w="100"/>
              <w:right w:type="dxa" w:w="144"/>
            </w:tcMar>
          </w:tcPr>
          <w:p>
            <w:r>
              <w:rPr>
                <w:rFonts w:ascii="Calibri" w:cs="Calibri" w:eastAsia="Calibri" w:hAnsi="Calibri"/>
                <w:b w:val="false"/>
                <w:bCs w:val="false"/>
                <w:color w:val="1A2B42"/>
                <w:sz w:val="21"/>
                <w:szCs w:val="21"/>
              </w:rPr>
              <w:t xml:space="preserve">Jun 2027</w:t>
            </w:r>
          </w:p>
        </w:tc>
      </w:tr>
    </w:tbl>
    <w:p>
      <w:pPr>
        <w:spacing w:before="20"/>
      </w:pPr>
    </w:p>
    <w:p>
      <w:pPr>
        <w:pBdr>
          <w:bottom w:val="single" w:color="DCE3EE" w:sz="4" w:space="1"/>
        </w:pBdr>
        <w:spacing w:after="24" w:before="24"/>
      </w:pPr>
    </w:p>
    <w:p>
      <w:pPr>
        <w:spacing w:after="8" w:before="12"/>
      </w:pPr>
      <w:r>
        <w:rPr>
          <w:rFonts w:ascii="Georgia" w:cs="Georgia" w:eastAsia="Georgia" w:hAnsi="Georgia"/>
          <w:i/>
          <w:iCs/>
          <w:color w:val="1A2B42"/>
          <w:sz w:val="24"/>
          <w:szCs w:val="24"/>
        </w:rPr>
        <w:t xml:space="preserve">Ready to get started?  Book your free portfolio review at mapmyfinancialgroup.co.nz or call us directly. No cost. No obligation.</w:t>
      </w:r>
    </w:p>
    <w:p>
      <w:pPr>
        <w:spacing w:after="12" w:before="8"/>
      </w:pPr>
      <w:r>
        <w:rPr>
          <w:rFonts w:ascii="Calibri" w:cs="Calibri" w:eastAsia="Calibri" w:hAnsi="Calibri"/>
          <w:color w:val="5A6A80"/>
          <w:sz w:val="22"/>
          <w:szCs w:val="22"/>
        </w:rPr>
        <w:t xml:space="preserve">This is a sample report for illustrative purposes only. Names, addresses and figures are fictional and do not represent any real portfolio or person. This document does not constitute financial advice. MapMy Financial Group is FAP Licensed and FMA Registered.</w:t>
      </w:r>
    </w:p>
    <w:sectPr>
      <w:headerReference w:type="default" r:id="rId7"/>
      <w:footerReference w:type="default" r:id="rId8"/>
      <w:pgSz w:w="11906" w:h="16838" w:orient="portrait"/>
      <w:pgMar w:top="1440" w:right="1584" w:bottom="1440" w:left="158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CE3EE" w:sz="4"/>
      </w:pBdr>
      <w:spacing w:before="16"/>
      <w:jc w:val="center"/>
    </w:pPr>
    <w:r>
      <w:rPr>
        <w:rFonts w:ascii="Calibri" w:cs="Calibri" w:eastAsia="Calibri" w:hAnsi="Calibri"/>
        <w:color w:val="97A3B8"/>
        <w:sz w:val="17"/>
        <w:szCs w:val="17"/>
      </w:rPr>
      <w:t xml:space="preserve">Confidential — Sample Only · MapMy Financial Group · FAP Licensed · mapmyfinancialgroup.co.nz  |  Page </w:t>
    </w:r>
    <w:r>
      <w:rPr>
        <w:rFonts w:ascii="Calibri" w:cs="Calibri" w:eastAsia="Calibri" w:hAnsi="Calibri"/>
        <w:color w:val="97A3B8"/>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CE3EE" w:sz="4"/>
      </w:pBdr>
      <w:spacing w:after="16"/>
      <w:jc w:val="right"/>
    </w:pPr>
    <w:r>
      <w:rPr>
        <w:rFonts w:ascii="Calibri" w:cs="Calibri" w:eastAsia="Calibri" w:hAnsi="Calibri"/>
        <w:color w:val="97A3B8"/>
        <w:spacing w:val="60"/>
        <w:sz w:val="17"/>
        <w:szCs w:val="17"/>
      </w:rPr>
      <w:t xml:space="preserve">MAPMY FINANCIAL GROUP  ·  PORTFOLIO REVIEW REPORT  ·  SAMPLE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A6A8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 w:before="40"/>
    </w:pPr>
    <w:rPr>
      <w:rFonts w:ascii="Georgia" w:cs="Georgia" w:eastAsia="Georgia" w:hAnsi="Georgia"/>
      <w:b w:val="false"/>
      <w:bCs w:val="false"/>
      <w:color w:val="1A2B42"/>
      <w:sz w:val="44"/>
      <w:szCs w:val="44"/>
    </w:rPr>
  </w:style>
  <w:style w:type="paragraph" w:styleId="Heading2">
    <w:name w:val="Heading 2"/>
    <w:basedOn w:val="Normal"/>
    <w:next w:val="Normal"/>
    <w:pPr>
      <w:spacing w:after="8" w:before="28"/>
    </w:pPr>
    <w:rPr>
      <w:rFonts w:ascii="Georgia" w:cs="Georgia" w:eastAsia="Georgia" w:hAnsi="Georgia"/>
      <w:b w:val="false"/>
      <w:bCs w:val="false"/>
      <w:color w:val="1A2B42"/>
      <w:sz w:val="32"/>
      <w:szCs w:val="32"/>
    </w:rPr>
  </w:style>
  <w:style w:type="paragraph" w:styleId="Heading3">
    <w:name w:val="Heading 3"/>
    <w:basedOn w:val="Normal"/>
    <w:next w:val="Normal"/>
    <w:pPr>
      <w:spacing w:after="6" w:before="20"/>
    </w:pPr>
    <w:rPr>
      <w:rFonts w:ascii="Calibri" w:cs="Calibri" w:eastAsia="Calibri" w:hAnsi="Calibri"/>
      <w:b/>
      <w:bCs/>
      <w:color w:val="1A2B4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Portfolio Review Report — Sample</dc:title>
  <dc:creator>MapMy Financial Group</dc:creator>
  <dc:description>Sample portfolio review report prepared by MMFG</dc:description>
  <cp:lastModifiedBy>Un-named</cp:lastModifiedBy>
  <cp:revision>1</cp:revision>
  <dcterms:created xsi:type="dcterms:W3CDTF">2026-05-12T21:51:14.217Z</dcterms:created>
  <dcterms:modified xsi:type="dcterms:W3CDTF">2026-05-12T21:51:14.218Z</dcterms:modified>
</cp:coreProperties>
</file>

<file path=docProps/custom.xml><?xml version="1.0" encoding="utf-8"?>
<Properties xmlns="http://schemas.openxmlformats.org/officeDocument/2006/custom-properties" xmlns:vt="http://schemas.openxmlformats.org/officeDocument/2006/docPropsVTypes"/>
</file>